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nath20260628_10q.htm"/>
      <w:bookmarkStart w:id="1" w:name="ksnath20260628_10q"/>
      <w:bookmarkEnd w:id="0"/>
      <w:bookmarkEnd w:id="1"/>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60"/>
        <w:gridCol w:w="230"/>
        <w:gridCol w:w="93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93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quarterly period ended </w:t>
            </w:r>
            <w:r>
              <w:rPr>
                <w:rFonts w:ascii="Times New Roman;Times;serif" w:hAnsi="Times New Roman;Times;serif"/>
                <w:b/>
                <w:sz w:val="20"/>
              </w:rPr>
              <w:t>June 28, 2026.</w:t>
            </w:r>
          </w:p>
        </w:tc>
      </w:tr>
    </w:tbl>
    <w:p>
      <w:pPr>
        <w:pStyle w:val="TextBody"/>
        <w:bidi w:val="0"/>
        <w:spacing w:before="0" w:after="0"/>
        <w:ind w:left="180" w:right="0" w:hanging="0"/>
        <w:jc w:val="center"/>
        <w:rPr>
          <w:rFonts w:ascii="Times New Roman" w:hAnsi="Times New Roman"/>
          <w:caps w:val="false"/>
          <w:smallCaps w:val="false"/>
          <w:sz w:val="20"/>
        </w:rPr>
      </w:pPr>
      <w:r>
        <w:rPr>
          <w:rFonts w:ascii="Times New Roman" w:hAnsi="Times New Roman"/>
          <w:caps w:val="false"/>
          <w:smallCaps w:val="false"/>
          <w:sz w:val="20"/>
        </w:rPr>
        <w:t>OR</w:t>
      </w:r>
    </w:p>
    <w:tbl>
      <w:tblPr>
        <w:tblW w:w="9550" w:type="dxa"/>
        <w:jc w:val="left"/>
        <w:tblInd w:w="0" w:type="dxa"/>
        <w:tblLayout w:type="fixed"/>
        <w:tblCellMar>
          <w:top w:w="0" w:type="dxa"/>
          <w:left w:w="0" w:type="dxa"/>
          <w:bottom w:w="0" w:type="dxa"/>
          <w:right w:w="0" w:type="dxa"/>
        </w:tblCellMar>
      </w:tblPr>
      <w:tblGrid>
        <w:gridCol w:w="60"/>
        <w:gridCol w:w="230"/>
        <w:gridCol w:w="926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92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transition period from </w:t>
            </w:r>
            <w:r>
              <w:rPr>
                <w:rFonts w:ascii="Times New Roman;Times;serif" w:hAnsi="Times New Roman;Times;serif"/>
                <w:sz w:val="20"/>
                <w:u w:val="single"/>
              </w:rPr>
              <w:t>                   </w:t>
            </w:r>
            <w:r>
              <w:rPr>
                <w:rFonts w:ascii="Times New Roman;Times;serif" w:hAnsi="Times New Roman;Times;serif"/>
                <w:sz w:val="20"/>
              </w:rPr>
              <w:t xml:space="preserve"> to </w:t>
            </w:r>
            <w:r>
              <w:rPr>
                <w:rFonts w:ascii="Times New Roman;Times;serif" w:hAnsi="Times New Roman;Times;serif"/>
                <w:sz w:val="20"/>
                <w:u w:val="single"/>
              </w:rPr>
              <w:t>                   </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Commission File No. </w:t>
      </w:r>
      <w:r>
        <w:rPr>
          <w:rFonts w:ascii="Times New Roman" w:hAnsi="Times New Roman"/>
          <w:b/>
          <w:caps w:val="false"/>
          <w:smallCaps w:val="false"/>
          <w:sz w:val="20"/>
          <w:u w:val="single"/>
        </w:rPr>
        <w:t>001-35962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NATHAN'S FAMOUS,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28" w:type="dxa"/>
          <w:right w:w="0" w:type="dxa"/>
        </w:tblCellMar>
      </w:tblPr>
      <w:tblGrid>
        <w:gridCol w:w="4880"/>
        <w:gridCol w:w="60"/>
        <w:gridCol w:w="2915"/>
      </w:tblGrid>
      <w:tr>
        <w:trPr/>
        <w:tc>
          <w:tcPr>
            <w:tcW w:w="48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11-3166443</w:t>
            </w:r>
          </w:p>
        </w:tc>
      </w:tr>
      <w:tr>
        <w:trPr/>
        <w:tc>
          <w:tcPr>
            <w:tcW w:w="488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 Identification No.)</w:t>
            </w:r>
          </w:p>
        </w:tc>
      </w:tr>
      <w:tr>
        <w:trPr/>
        <w:tc>
          <w:tcPr>
            <w:tcW w:w="4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283"/>
              <w:jc w:val="left"/>
              <w:rPr/>
            </w:pPr>
            <w:r>
              <w:rPr/>
              <w:t> </w:t>
            </w:r>
          </w:p>
        </w:tc>
      </w:tr>
      <w:tr>
        <w:trPr/>
        <w:tc>
          <w:tcPr>
            <w:tcW w:w="4880" w:type="dxa"/>
            <w:tcBorders>
              <w:bottom w:val="single" w:sz="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One Jericho Plaza, Jericho, New York</w:t>
            </w:r>
            <w:r>
              <w:rPr>
                <w:rFonts w:ascii="Times New Roman;Times;serif" w:hAnsi="Times New Roman;Times;serif"/>
                <w:sz w:val="20"/>
              </w:rPr>
              <w:t> </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2" w:space="0" w:color="000000"/>
            </w:tcBorders>
            <w:vAlign w:val="center"/>
          </w:tcPr>
          <w:p>
            <w:pPr>
              <w:pStyle w:val="TableContents"/>
              <w:bidi w:val="0"/>
              <w:spacing w:before="0" w:after="283"/>
              <w:jc w:val="center"/>
              <w:rPr/>
            </w:pPr>
            <w:r>
              <w:rPr/>
              <w:t> </w:t>
            </w:r>
            <w:r>
              <w:rPr>
                <w:rFonts w:ascii="Times New Roman;Times;serif" w:hAnsi="Times New Roman;Times;serif"/>
                <w:b/>
                <w:sz w:val="20"/>
              </w:rPr>
              <w:t>11753</w:t>
            </w:r>
          </w:p>
        </w:tc>
      </w:tr>
      <w:tr>
        <w:trPr/>
        <w:tc>
          <w:tcPr>
            <w:tcW w:w="48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r>
        <w:trPr/>
        <w:tc>
          <w:tcPr>
            <w:tcW w:w="4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283"/>
              <w:jc w:val="left"/>
              <w:rPr/>
            </w:pPr>
            <w:r>
              <w:rPr/>
              <w:t> </w:t>
            </w:r>
          </w:p>
        </w:tc>
      </w:tr>
      <w:tr>
        <w:trPr/>
        <w:tc>
          <w:tcPr>
            <w:tcW w:w="48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Registrant's telephone number, including area code:</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516-338-8500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28" w:type="dxa"/>
          <w:left w:w="28" w:type="dxa"/>
          <w:bottom w:w="28" w:type="dxa"/>
          <w:right w:w="0" w:type="dxa"/>
        </w:tblCellMar>
      </w:tblPr>
      <w:tblGrid>
        <w:gridCol w:w="3305"/>
        <w:gridCol w:w="60"/>
        <w:gridCol w:w="1710"/>
        <w:gridCol w:w="60"/>
        <w:gridCol w:w="3710"/>
      </w:tblGrid>
      <w:tr>
        <w:trPr/>
        <w:tc>
          <w:tcPr>
            <w:tcW w:w="33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171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firstLine="1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371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each exchange on which registered</w:t>
            </w:r>
          </w:p>
        </w:tc>
      </w:tr>
      <w:tr>
        <w:trPr/>
        <w:tc>
          <w:tcPr>
            <w:tcW w:w="33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$.01 per share</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7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NATH</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71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Large 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Accelerated filer</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August 3, 2026, an aggregate of 4,097,661 shares of the registrant's common stock, par value of $.01, were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NATHAN'S FAMOUS, 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9"/>
        <w:gridCol w:w="8845"/>
        <w:gridCol w:w="681"/>
      </w:tblGrid>
      <w:tr>
        <w:trPr/>
        <w:tc>
          <w:tcPr>
            <w:tcW w:w="67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8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8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w:t>
            </w:r>
          </w:p>
        </w:tc>
      </w:tr>
      <w:tr>
        <w:trPr/>
        <w:tc>
          <w:tcPr>
            <w:tcW w:w="679" w:type="dxa"/>
            <w:tcBorders/>
            <w:vAlign w:val="center"/>
          </w:tcPr>
          <w:p>
            <w:pPr>
              <w:pStyle w:val="TableContents"/>
              <w:bidi w:val="0"/>
              <w:spacing w:before="0" w:after="283"/>
              <w:jc w:val="left"/>
              <w:rPr/>
            </w:pPr>
            <w:r>
              <w:rPr/>
              <w:t> </w:t>
            </w:r>
          </w:p>
        </w:tc>
        <w:tc>
          <w:tcPr>
            <w:tcW w:w="8845" w:type="dxa"/>
            <w:tcBorders/>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 I.</w:t>
            </w:r>
          </w:p>
        </w:tc>
        <w:tc>
          <w:tcPr>
            <w:tcW w:w="8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INFORMATION</w:t>
            </w:r>
          </w:p>
        </w:tc>
        <w:tc>
          <w:tcPr>
            <w:tcW w:w="681" w:type="dxa"/>
            <w:tcBorders/>
            <w:shd w:fill="CCEEFF" w:val="clear"/>
            <w:vAlign w:val="center"/>
          </w:tcPr>
          <w:p>
            <w:pPr>
              <w:pStyle w:val="TableContents"/>
              <w:bidi w:val="0"/>
              <w:spacing w:before="0" w:after="283"/>
              <w:jc w:val="left"/>
              <w:rPr/>
            </w:pPr>
            <w:r>
              <w:rPr/>
              <w:t> </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Statements.</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283"/>
              <w:jc w:val="left"/>
              <w:rPr/>
            </w:pPr>
            <w:r>
              <w:rPr/>
              <w:t> </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Consolidated Balance Sheets – June 28, 2026 (Unaudited) and March 29, 2026</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283"/>
              <w:jc w:val="left"/>
              <w:rPr/>
            </w:pPr>
            <w:r>
              <w:rPr/>
              <w:t> </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Consolidated Statements of Earnings (Unaudited) – Thirteen Weeks Ended June 28, 2026 and June 29, 2025</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283"/>
              <w:jc w:val="left"/>
              <w:rPr/>
            </w:pPr>
            <w:r>
              <w:rPr/>
              <w:t> </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Consolidated Statements of Changes in Stockholders’ Deficit (Unaudited) – Thirteen Weeks Ended June 28, 2026 and June 29, 2025</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283"/>
              <w:jc w:val="left"/>
              <w:rPr/>
            </w:pPr>
            <w:r>
              <w:rPr/>
              <w:t> </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Consolidated Statements of Cash Flows (Unaudited) – Thirteen Weeks Ended June 28, 2026 and June 29, 2025</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283"/>
              <w:jc w:val="left"/>
              <w:rPr/>
            </w:pPr>
            <w:r>
              <w:rPr/>
              <w:t> </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to Condensed Consolidated Financial Statements</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Management's Discussion and Analysis of Financial Condition and Results of Operations.</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Quantitative and Qualitative Disclosures About Market Risk.</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Controls and Procedures.</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 II.</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INFORMATION</w:t>
            </w:r>
          </w:p>
        </w:tc>
        <w:tc>
          <w:tcPr>
            <w:tcW w:w="681" w:type="dxa"/>
            <w:tcBorders/>
            <w:shd w:fill="CCEEFF" w:val="clear"/>
            <w:vAlign w:val="center"/>
          </w:tcPr>
          <w:p>
            <w:pPr>
              <w:pStyle w:val="TableContents"/>
              <w:bidi w:val="0"/>
              <w:spacing w:before="0" w:after="283"/>
              <w:jc w:val="left"/>
              <w:rPr/>
            </w:pPr>
            <w:r>
              <w:rPr/>
              <w:t> </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Proceedings.</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Unregistered Sales of Equity Securities and Use of Proceeds.</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Defaults Upon Senior Securities.</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Mine Safety Disclosures.</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Information.</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c>
          <w:tcPr>
            <w:tcW w:w="68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r>
      <w:tr>
        <w:trPr/>
        <w:tc>
          <w:tcPr>
            <w:tcW w:w="679" w:type="dxa"/>
            <w:tcBorders/>
            <w:shd w:fill="FFFFFF" w:val="clear"/>
            <w:vAlign w:val="center"/>
          </w:tcPr>
          <w:p>
            <w:pPr>
              <w:pStyle w:val="TableContents"/>
              <w:bidi w:val="0"/>
              <w:spacing w:before="0" w:after="283"/>
              <w:jc w:val="left"/>
              <w:rPr/>
            </w:pPr>
            <w:r>
              <w:rPr/>
              <w:t> </w:t>
            </w:r>
          </w:p>
        </w:tc>
        <w:tc>
          <w:tcPr>
            <w:tcW w:w="884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2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SIGNATURES</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Nathan</w:t>
      </w:r>
      <w:r>
        <w:rPr>
          <w:rFonts w:ascii="Times New Roman" w:hAnsi="Times New Roman"/>
          <w:caps w:val="false"/>
          <w:smallCaps w:val="false"/>
          <w:sz w:val="20"/>
        </w:rPr>
        <w:t>’</w:t>
      </w:r>
      <w:r>
        <w:rPr>
          <w:rFonts w:ascii="Times New Roman" w:hAnsi="Times New Roman"/>
          <w:b/>
          <w:caps w:val="false"/>
          <w:smallCaps w:val="false"/>
          <w:sz w:val="20"/>
        </w:rPr>
        <w:t>s Famous,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28, 2026 and March 29, 2026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80"/>
        <w:gridCol w:w="60"/>
        <w:gridCol w:w="191"/>
        <w:gridCol w:w="851"/>
        <w:gridCol w:w="80"/>
        <w:gridCol w:w="60"/>
        <w:gridCol w:w="161"/>
        <w:gridCol w:w="840"/>
        <w:gridCol w:w="82"/>
      </w:tblGrid>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2026</w:t>
            </w:r>
          </w:p>
        </w:tc>
        <w:tc>
          <w:tcPr>
            <w:tcW w:w="82"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(Note E)</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24,686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24,404</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and other receivables, net (Note G)</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19,841</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 (Note H)</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58,805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47,120</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 of accumulated depreciation of $12,420 and $12,225, respectively</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 (Note Q)</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net (Note I)</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64,787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53,651</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 (Note P)</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10,605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7,904</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 (Note K)</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6,466</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 (Note Q)</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franchise fees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24,041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18,902</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unamortized debt issuance costs of $239 and $257, respectively (Note P)</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45,743</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portion of operating lease liabilities (Note Q)</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franchise fees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71,949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67,874</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R)</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DEFICIT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$.01 par value; 30,000,000 shares authorized; 9,387,176 and 9,383,920 shares issued; and 4,097,661 and 4,094,405 shares outstanding at June 28, 2026 and March 29, 2026, respectively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64,445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64,165</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14,961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8,180</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 before treasury stock</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79,500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72,439</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5,289,515 shares at June 28, 2026 and March 29, 2026</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(86,662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(86,662</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80"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deficit</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(7,162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deficit</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64,787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53,651</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Nathan</w:t>
      </w:r>
      <w:r>
        <w:rPr>
          <w:rFonts w:ascii="Times New Roman" w:hAnsi="Times New Roman"/>
          <w:caps w:val="false"/>
          <w:smallCaps w:val="false"/>
          <w:sz w:val="20"/>
        </w:rPr>
        <w:t>’</w:t>
      </w:r>
      <w:r>
        <w:rPr>
          <w:rFonts w:ascii="Times New Roman" w:hAnsi="Times New Roman"/>
          <w:b/>
          <w:caps w:val="false"/>
          <w:smallCaps w:val="false"/>
          <w:sz w:val="20"/>
        </w:rPr>
        <w:t>s Famous,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EARNINGS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Thirteen weeks ended June 28, 2026 and June 29, 2025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033" w:type="dxa"/>
        <w:jc w:val="left"/>
        <w:tblInd w:w="0" w:type="dxa"/>
        <w:tblLayout w:type="fixed"/>
        <w:tblCellMar>
          <w:top w:w="0" w:type="dxa"/>
          <w:left w:w="0" w:type="dxa"/>
          <w:bottom w:w="0" w:type="dxa"/>
          <w:right w:w="0" w:type="dxa"/>
        </w:tblCellMar>
      </w:tblPr>
      <w:tblGrid>
        <w:gridCol w:w="5360"/>
        <w:gridCol w:w="60"/>
        <w:gridCol w:w="215"/>
        <w:gridCol w:w="1019"/>
        <w:gridCol w:w="80"/>
        <w:gridCol w:w="60"/>
        <w:gridCol w:w="202"/>
        <w:gridCol w:w="957"/>
        <w:gridCol w:w="80"/>
      </w:tblGrid>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28, 2026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Branded 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35,039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29,075</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Company-owned restaurants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3,986</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royalties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13,587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12,381</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fees and royalties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Advertising fund revenue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46,998</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35,205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28,423</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Restaurant operating expenses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3,950</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Advertising fund expense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and expenses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34,207</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12,668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12,791</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 income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12,163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12,257</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3,329</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8,829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8,928</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 SHARE INFORMATION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computing net income per share: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4,095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4,089</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Nathan</w:t>
      </w:r>
      <w:r>
        <w:rPr>
          <w:rFonts w:ascii="Times New Roman" w:hAnsi="Times New Roman"/>
          <w:caps w:val="false"/>
          <w:smallCaps w:val="false"/>
          <w:sz w:val="20"/>
        </w:rPr>
        <w:t>’</w:t>
      </w:r>
      <w:r>
        <w:rPr>
          <w:rFonts w:ascii="Times New Roman" w:hAnsi="Times New Roman"/>
          <w:b/>
          <w:caps w:val="false"/>
          <w:smallCaps w:val="false"/>
          <w:sz w:val="20"/>
        </w:rPr>
        <w:t>s Famous, 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CHANGES IN STOCKHOLDERS</w:t>
      </w:r>
      <w:r>
        <w:rPr>
          <w:rFonts w:ascii="Times New Roman" w:hAnsi="Times New Roman"/>
          <w:caps w:val="false"/>
          <w:smallCaps w:val="false"/>
          <w:sz w:val="20"/>
        </w:rPr>
        <w:t xml:space="preserve">’ </w:t>
      </w:r>
      <w:r>
        <w:rPr>
          <w:rFonts w:ascii="Times New Roman" w:hAnsi="Times New Roman"/>
          <w:b/>
          <w:caps w:val="false"/>
          <w:smallCaps w:val="false"/>
          <w:sz w:val="20"/>
        </w:rPr>
        <w:t>DEFICIT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Thirteen weeks ended June 28, 2026 and June 29, 2025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2"/>
        <w:gridCol w:w="60"/>
        <w:gridCol w:w="60"/>
        <w:gridCol w:w="740"/>
        <w:gridCol w:w="60"/>
        <w:gridCol w:w="60"/>
        <w:gridCol w:w="241"/>
        <w:gridCol w:w="439"/>
        <w:gridCol w:w="60"/>
        <w:gridCol w:w="60"/>
        <w:gridCol w:w="135"/>
        <w:gridCol w:w="635"/>
        <w:gridCol w:w="60"/>
        <w:gridCol w:w="60"/>
        <w:gridCol w:w="113"/>
        <w:gridCol w:w="537"/>
        <w:gridCol w:w="80"/>
        <w:gridCol w:w="60"/>
        <w:gridCol w:w="61"/>
        <w:gridCol w:w="764"/>
        <w:gridCol w:w="61"/>
        <w:gridCol w:w="61"/>
        <w:gridCol w:w="113"/>
        <w:gridCol w:w="594"/>
        <w:gridCol w:w="80"/>
        <w:gridCol w:w="60"/>
        <w:gridCol w:w="158"/>
        <w:gridCol w:w="832"/>
        <w:gridCol w:w="99"/>
      </w:tblGrid>
      <w:tr>
        <w:trPr/>
        <w:tc>
          <w:tcPr>
            <w:tcW w:w="38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99" w:type="dxa"/>
            <w:tcBorders/>
            <w:vAlign w:val="center"/>
          </w:tcPr>
          <w:p>
            <w:pPr>
              <w:pStyle w:val="TableContents"/>
              <w:bidi w:val="0"/>
              <w:spacing w:before="0" w:after="283"/>
              <w:jc w:val="left"/>
              <w:rPr/>
            </w:pPr>
            <w:r>
              <w:rPr/>
              <w:t> </w:t>
            </w:r>
          </w:p>
        </w:tc>
      </w:tr>
      <w:tr>
        <w:trPr/>
        <w:tc>
          <w:tcPr>
            <w:tcW w:w="38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Treasury Stock, at Cost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Stockholders’</w:t>
            </w:r>
          </w:p>
        </w:tc>
        <w:tc>
          <w:tcPr>
            <w:tcW w:w="99" w:type="dxa"/>
            <w:tcBorders/>
            <w:vAlign w:val="center"/>
          </w:tcPr>
          <w:p>
            <w:pPr>
              <w:pStyle w:val="TableContents"/>
              <w:bidi w:val="0"/>
              <w:spacing w:before="0" w:after="283"/>
              <w:jc w:val="left"/>
              <w:rPr/>
            </w:pPr>
            <w:r>
              <w:rPr/>
              <w:t> </w:t>
            </w:r>
          </w:p>
        </w:tc>
      </w:tr>
      <w:tr>
        <w:trPr/>
        <w:tc>
          <w:tcPr>
            <w:tcW w:w="38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Deficit</w:t>
            </w:r>
          </w:p>
        </w:tc>
        <w:tc>
          <w:tcPr>
            <w:tcW w:w="99" w:type="dxa"/>
            <w:tcBorders/>
            <w:vAlign w:val="center"/>
          </w:tcPr>
          <w:p>
            <w:pPr>
              <w:pStyle w:val="TableContents"/>
              <w:bidi w:val="0"/>
              <w:spacing w:before="0" w:after="283"/>
              <w:jc w:val="left"/>
              <w:rPr/>
            </w:pPr>
            <w:r>
              <w:rPr/>
              <w:t> </w:t>
            </w:r>
          </w:p>
        </w:tc>
      </w:tr>
      <w:tr>
        <w:trPr/>
        <w:tc>
          <w:tcPr>
            <w:tcW w:w="38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March 29,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9,383,920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64,165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5,289,515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1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(86,662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(14,223</w:t>
            </w:r>
          </w:p>
        </w:tc>
        <w:tc>
          <w:tcPr>
            <w:tcW w:w="99"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r>
      <w:tr>
        <w:trPr/>
        <w:tc>
          <w:tcPr>
            <w:tcW w:w="38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862"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Shares issued in connection with share-based compensation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99" w:type="dxa"/>
            <w:tcBorders/>
            <w:shd w:fill="CCEEFF" w:val="clear"/>
            <w:vAlign w:val="center"/>
          </w:tcPr>
          <w:p>
            <w:pPr>
              <w:pStyle w:val="TableContents"/>
              <w:bidi w:val="0"/>
              <w:spacing w:before="0" w:after="283"/>
              <w:jc w:val="left"/>
              <w:rPr/>
            </w:pPr>
            <w:r>
              <w:rPr/>
              <w:t> </w:t>
            </w:r>
          </w:p>
        </w:tc>
      </w:tr>
      <w:tr>
        <w:trPr/>
        <w:tc>
          <w:tcPr>
            <w:tcW w:w="3862"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Dividends on common stock ($0.50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53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(2,048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(2,048</w:t>
            </w:r>
          </w:p>
        </w:tc>
        <w:tc>
          <w:tcPr>
            <w:tcW w:w="99"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280</w:t>
            </w:r>
          </w:p>
        </w:tc>
        <w:tc>
          <w:tcPr>
            <w:tcW w:w="99" w:type="dxa"/>
            <w:tcBorders/>
            <w:shd w:fill="CCEEFF" w:val="clear"/>
            <w:vAlign w:val="center"/>
          </w:tcPr>
          <w:p>
            <w:pPr>
              <w:pStyle w:val="TableContents"/>
              <w:bidi w:val="0"/>
              <w:spacing w:before="0" w:after="283"/>
              <w:jc w:val="left"/>
              <w:rPr/>
            </w:pPr>
            <w:r>
              <w:rPr/>
              <w:t> </w:t>
            </w:r>
          </w:p>
        </w:tc>
      </w:tr>
      <w:tr>
        <w:trPr/>
        <w:tc>
          <w:tcPr>
            <w:tcW w:w="386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8,829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8,829</w:t>
            </w:r>
          </w:p>
        </w:tc>
        <w:tc>
          <w:tcPr>
            <w:tcW w:w="99" w:type="dxa"/>
            <w:tcBorders/>
            <w:shd w:fill="FFFFFF" w:val="clear"/>
            <w:vAlign w:val="center"/>
          </w:tcPr>
          <w:p>
            <w:pPr>
              <w:pStyle w:val="TableContents"/>
              <w:bidi w:val="0"/>
              <w:spacing w:before="0" w:after="283"/>
              <w:jc w:val="left"/>
              <w:rPr/>
            </w:pPr>
            <w:r>
              <w:rPr/>
              <w:t> </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June 28,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9,387,176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64,445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14,961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5,289,515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(86,662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(7,162</w:t>
            </w:r>
          </w:p>
        </w:tc>
        <w:tc>
          <w:tcPr>
            <w:tcW w:w="99"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9719" w:type="dxa"/>
        <w:jc w:val="left"/>
        <w:tblInd w:w="0" w:type="dxa"/>
        <w:tblLayout w:type="fixed"/>
        <w:tblCellMar>
          <w:top w:w="0" w:type="dxa"/>
          <w:left w:w="0" w:type="dxa"/>
          <w:bottom w:w="0" w:type="dxa"/>
          <w:right w:w="0" w:type="dxa"/>
        </w:tblCellMar>
      </w:tblPr>
      <w:tblGrid>
        <w:gridCol w:w="3335"/>
        <w:gridCol w:w="60"/>
        <w:gridCol w:w="60"/>
        <w:gridCol w:w="740"/>
        <w:gridCol w:w="60"/>
        <w:gridCol w:w="60"/>
        <w:gridCol w:w="241"/>
        <w:gridCol w:w="439"/>
        <w:gridCol w:w="60"/>
        <w:gridCol w:w="60"/>
        <w:gridCol w:w="135"/>
        <w:gridCol w:w="635"/>
        <w:gridCol w:w="60"/>
        <w:gridCol w:w="60"/>
        <w:gridCol w:w="113"/>
        <w:gridCol w:w="537"/>
        <w:gridCol w:w="80"/>
        <w:gridCol w:w="60"/>
        <w:gridCol w:w="62"/>
        <w:gridCol w:w="776"/>
        <w:gridCol w:w="62"/>
        <w:gridCol w:w="62"/>
        <w:gridCol w:w="115"/>
        <w:gridCol w:w="603"/>
        <w:gridCol w:w="80"/>
        <w:gridCol w:w="60"/>
        <w:gridCol w:w="161"/>
        <w:gridCol w:w="848"/>
        <w:gridCol w:w="95"/>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9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Treasury Stock, at Cost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Stockholders’</w:t>
            </w:r>
          </w:p>
        </w:tc>
        <w:tc>
          <w:tcPr>
            <w:tcW w:w="9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Shares</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Deficit</w:t>
            </w:r>
          </w:p>
        </w:tc>
        <w:tc>
          <w:tcPr>
            <w:tcW w:w="9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March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9,379,025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5,289,515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(86,662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(16,513</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Dividends on common stock ($0.50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(2,045</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53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w:t>
            </w:r>
          </w:p>
        </w:tc>
        <w:tc>
          <w:tcPr>
            <w:tcW w:w="9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8,928</w:t>
            </w:r>
          </w:p>
        </w:tc>
        <w:tc>
          <w:tcPr>
            <w:tcW w:w="9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June 29,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9,379,025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5,289,515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(86,662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(9,342</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Nathan</w:t>
      </w:r>
      <w:r>
        <w:rPr>
          <w:rFonts w:ascii="Times New Roman" w:hAnsi="Times New Roman"/>
          <w:caps w:val="false"/>
          <w:smallCaps w:val="false"/>
          <w:sz w:val="20"/>
        </w:rPr>
        <w:t>’</w:t>
      </w:r>
      <w:r>
        <w:rPr>
          <w:rFonts w:ascii="Times New Roman" w:hAnsi="Times New Roman"/>
          <w:b/>
          <w:caps w:val="false"/>
          <w:smallCaps w:val="false"/>
          <w:sz w:val="20"/>
        </w:rPr>
        <w:t>s Famous,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Thirteen weeks ended June 28, 2026 and June 29, 2025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998" w:type="dxa"/>
        <w:jc w:val="left"/>
        <w:tblInd w:w="0" w:type="dxa"/>
        <w:tblLayout w:type="fixed"/>
        <w:tblCellMar>
          <w:top w:w="0" w:type="dxa"/>
          <w:left w:w="0" w:type="dxa"/>
          <w:bottom w:w="0" w:type="dxa"/>
          <w:right w:w="0" w:type="dxa"/>
        </w:tblCellMar>
      </w:tblPr>
      <w:tblGrid>
        <w:gridCol w:w="7370"/>
        <w:gridCol w:w="60"/>
        <w:gridCol w:w="191"/>
        <w:gridCol w:w="998"/>
        <w:gridCol w:w="80"/>
        <w:gridCol w:w="60"/>
        <w:gridCol w:w="187"/>
        <w:gridCol w:w="972"/>
        <w:gridCol w:w="80"/>
      </w:tblGrid>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80" w:type="dxa"/>
            <w:tcBorders/>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8,829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8,928</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expected credit losses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and other receivables, net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(11,493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(508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 and liabilities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franchise fees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Credit Facility</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27,802</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24,686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26,867</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See Note S for supplemental cash flow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NATHAN'S FAMOUS, INC. AND SUBSIDIARIES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28, 2026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A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condensed consolidated financial statements of Nathan's Famous, Inc. and subsidiaries (collectively “Nathan’s,” the “Company,” “we,” “us” or “our”) as of and for the thirteen week periods ended June 28, 2026 and June 29, 2025 have been prepared in accordance with accounting principles generally accepted in the United States of America (“GAAP”). The unaudited condensed consolidated financial statements include all adjustments (consisting of normal recurring adjustments) which, in the opinion of management, are necessary for a fair presentation of financial condition, results of operations and cash flows for the periods presented. However, our results of operations are seasonal in nature, and the results of any interim period are not necessarily indicative of results for any other interim period or the full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a 52-53 week fiscal year ending on the Sunday closest to March 31. The 2027 fiscal year will end on March 28, 2027 and will contain 52 weeks.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information and footnote disclosures normally included in financial statements prepared in accordance with GAAP have been omitted pursuant to the requirements of the U.S. Securities and Exchange Commission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believes that the disclosures included in the accompanying condensed consolidated interim financial statements and footnotes are adequate to make the information not misleading but should be read in conjunction with the Consolidated Financial Statements and Notes thereto included in Nathan’s Annual Report on Form 10-K for the fiscal year ended March 29, 2026 as filed with the SEC on June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significant interim accounting policies include the recognition of advertising fund expense in proportion to advertising fund revenue, and the recognition of income taxes using an estimated annual effective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summary of the Company’s significant accounting policies is identified in Note B of the Notes to Consolidated Financial Statements included in the Company’s Annual Report on Form 10-K for the fiscal year ended March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 w:hAnsi="Times New Roman"/>
          <w:i/>
          <w:caps w:val="false"/>
          <w:smallCaps w:val="false"/>
          <w:sz w:val="20"/>
        </w:rPr>
      </w:pPr>
      <w:r>
        <w:rPr>
          <w:rFonts w:ascii="Times New Roman" w:hAnsi="Times New Roman"/>
          <w:i/>
          <w:caps w:val="false"/>
          <w:smallCaps w:val="false"/>
          <w:sz w:val="20"/>
        </w:rPr>
        <w:t>Pending Merger with Smithfield Foods,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20, 2026, the Company entered into an Agreement and Plan of Merger (the “Merger Agreement”) with Smithfield Foods, Inc., a Virginia corporation (“Buyer”), and Boardwalk Merger Sub, Inc., a Delaware corporation and a wholly-owned subsidiary of Buyer (“Merger Sub”). Pursuant to the Merger Agreement, and subject to the satisfaction of the conditions thereof, Merger Sub shall merge with and into the Company (the “Merger” and the effective time of the Merger, the “Effective Time”). As a result of the Merger, at the Effective Time, the separate corporate existence of the Merger Sub shall cease, the Company shall continue as the surviving corporation in the Merger (the “Surviving Corporation”) and the Surviving Corporation shall become a wholly owned subsidiary of the Buyer. See NOTE T – MERGER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B – NEW ACCOUNTING STANDARDS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2024, the FASB issued ASU 2024-03, “</w:t>
      </w:r>
      <w:r>
        <w:rPr>
          <w:rFonts w:ascii="Times New Roman" w:hAnsi="Times New Roman"/>
          <w:i/>
          <w:caps w:val="false"/>
          <w:smallCaps w:val="false"/>
          <w:sz w:val="20"/>
        </w:rPr>
        <w:t xml:space="preserve">Income Statement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Reporting Comprehensive Income </w:t>
      </w:r>
      <w:r>
        <w:rPr>
          <w:rFonts w:ascii="Times New Roman" w:hAnsi="Times New Roman"/>
          <w:caps w:val="false"/>
          <w:smallCaps w:val="false"/>
          <w:sz w:val="20"/>
        </w:rPr>
        <w:t xml:space="preserve">– </w:t>
      </w:r>
      <w:r>
        <w:rPr>
          <w:rFonts w:ascii="Times New Roman" w:hAnsi="Times New Roman"/>
          <w:i/>
          <w:caps w:val="false"/>
          <w:smallCaps w:val="false"/>
          <w:sz w:val="20"/>
        </w:rPr>
        <w:t>Expense Disaggregation Disclosures (Subtopic 220-40): Disaggregation of Income Statement Expenses</w:t>
      </w:r>
      <w:r>
        <w:rPr>
          <w:rFonts w:ascii="Times New Roman" w:hAnsi="Times New Roman"/>
          <w:caps w:val="false"/>
          <w:smallCaps w:val="false"/>
          <w:sz w:val="20"/>
        </w:rPr>
        <w:t>”, which requires the disaggregation of certain expenses in the notes to the financial statements, to provide enhanced transparency into the expense captions presented on the face of the statements of earnings. Additionally, in January 2025, the FASB issued ASU 2025-01, “</w:t>
      </w:r>
      <w:r>
        <w:rPr>
          <w:rFonts w:ascii="Times New Roman" w:hAnsi="Times New Roman"/>
          <w:i/>
          <w:caps w:val="false"/>
          <w:smallCaps w:val="false"/>
          <w:sz w:val="20"/>
        </w:rPr>
        <w:t>Income Statement Reporting Comprehensive Income Expense Disaggregation Disclosures (Subtopic 220-40): Clarifying the Effective Date</w:t>
      </w:r>
      <w:r>
        <w:rPr>
          <w:rFonts w:ascii="Times New Roman" w:hAnsi="Times New Roman"/>
          <w:caps w:val="false"/>
          <w:smallCaps w:val="false"/>
          <w:sz w:val="20"/>
        </w:rPr>
        <w:t>”, which clarified the effective date for non-calendar year-end entities such as us. The guidance is effective for the first annual reporting period beginning after December 15, 2026, and interim reporting periods within annual reporting periods beginning after December 15, 2027. Early adoption is permitted. The amendments in this Update should be applied either (1) prospectively to financial statements for reporting periods after the effective date of this Update or (2) retrospectively to any or all prior periods presented in the financial statements. For the Company, annual reporting requirements will be effective for our fiscal year 2028 beginning on March 29, 2027 and interim reporting requirements will be effective beginning with our first quarter of fiscal year 2029. The Company is currently evaluating the impact that the new guidance will have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2025, the FASB issued ASU 2025-11, “</w:t>
      </w:r>
      <w:r>
        <w:rPr>
          <w:rFonts w:ascii="Times New Roman" w:hAnsi="Times New Roman"/>
          <w:i/>
          <w:caps w:val="false"/>
          <w:smallCaps w:val="false"/>
          <w:sz w:val="20"/>
        </w:rPr>
        <w:t>Interim Reporting (Topic 270): Narrow-Scope Improvements,</w:t>
      </w:r>
      <w:r>
        <w:rPr>
          <w:rFonts w:ascii="Times New Roman" w:hAnsi="Times New Roman"/>
          <w:caps w:val="false"/>
          <w:smallCaps w:val="false"/>
          <w:sz w:val="20"/>
        </w:rPr>
        <w:t>” which clarifies the applicability of the interim reporting guidance and provides a comprehensive list of required interim disclosures. The Update also incorporates a disclosure principle that requires entities to disclose events that occur since the end of the last annual reporting period that have a material impact on the entity. The Update will be effective for interim reporting periods within annual reporting periods beginning after December 15, 2027. Early adoption is permitted. The Update should be applied either (1) prospectively to financial statements for reporting periods after the effective date or (2) retrospectively to any or all prior periods presented in the financial statements. For the Company, interim reporting requirements will be effective with our first quarter of fiscal year 2029. The Company is currently evaluating the impact that the new guidance will have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does not believe that any recently issued, but not yet effective accounting standards, when adopted, will have a material effect on the accompanying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C –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disaggregated revenues for the thirteen weeks ended June 28, 2026 and June 29, 2025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011" w:type="dxa"/>
        <w:jc w:val="left"/>
        <w:tblInd w:w="0" w:type="dxa"/>
        <w:tblLayout w:type="fixed"/>
        <w:tblCellMar>
          <w:top w:w="0" w:type="dxa"/>
          <w:left w:w="0" w:type="dxa"/>
          <w:bottom w:w="0" w:type="dxa"/>
          <w:right w:w="0" w:type="dxa"/>
        </w:tblCellMar>
      </w:tblPr>
      <w:tblGrid>
        <w:gridCol w:w="2345"/>
        <w:gridCol w:w="60"/>
        <w:gridCol w:w="215"/>
        <w:gridCol w:w="1019"/>
        <w:gridCol w:w="69"/>
        <w:gridCol w:w="69"/>
        <w:gridCol w:w="202"/>
        <w:gridCol w:w="957"/>
        <w:gridCol w:w="75"/>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1"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Thirteen weeks ended</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28, 2026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Branded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35,039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29,075</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Company-owned restaurants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3,951</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3,986</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royalties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13,587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12,381</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royalties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1,020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fees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Advertising fund revenue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411</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54,062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disaggregates revenues by primary geographical market (in thousands):</w:t>
      </w:r>
    </w:p>
    <w:p>
      <w:pPr>
        <w:pStyle w:val="TextBody"/>
        <w:bidi w:val="0"/>
        <w:spacing w:before="0" w:after="0"/>
        <w:ind w:left="0" w:right="0" w:hanging="0"/>
        <w:jc w:val="left"/>
        <w:rPr>
          <w:caps w:val="false"/>
          <w:smallCaps w:val="false"/>
        </w:rPr>
      </w:pPr>
      <w:r>
        <w:rPr>
          <w:caps w:val="false"/>
          <w:smallCaps w:val="false"/>
        </w:rPr>
        <w:t> </w:t>
      </w:r>
    </w:p>
    <w:tbl>
      <w:tblPr>
        <w:tblW w:w="3826" w:type="dxa"/>
        <w:jc w:val="left"/>
        <w:tblInd w:w="0" w:type="dxa"/>
        <w:tblLayout w:type="fixed"/>
        <w:tblCellMar>
          <w:top w:w="0" w:type="dxa"/>
          <w:left w:w="0" w:type="dxa"/>
          <w:bottom w:w="0" w:type="dxa"/>
          <w:right w:w="0" w:type="dxa"/>
        </w:tblCellMar>
      </w:tblPr>
      <w:tblGrid>
        <w:gridCol w:w="1220"/>
        <w:gridCol w:w="60"/>
        <w:gridCol w:w="207"/>
        <w:gridCol w:w="982"/>
        <w:gridCol w:w="69"/>
        <w:gridCol w:w="69"/>
        <w:gridCol w:w="202"/>
        <w:gridCol w:w="957"/>
        <w:gridCol w:w="60"/>
      </w:tblGrid>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6"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Thirteen weeks ended</w:t>
            </w:r>
          </w:p>
        </w:tc>
        <w:tc>
          <w:tcPr>
            <w:tcW w:w="6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6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52,844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46,039</w:t>
            </w:r>
          </w:p>
        </w:tc>
        <w:tc>
          <w:tcPr>
            <w:tcW w:w="6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International</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1,218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w:t>
            </w:r>
          </w:p>
        </w:tc>
        <w:tc>
          <w:tcPr>
            <w:tcW w:w="6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54,062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46,998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The following table provides information about contract liabilities from contracts with customers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66"/>
        <w:gridCol w:w="60"/>
        <w:gridCol w:w="320"/>
        <w:gridCol w:w="860"/>
        <w:gridCol w:w="60"/>
        <w:gridCol w:w="60"/>
        <w:gridCol w:w="266"/>
        <w:gridCol w:w="1035"/>
        <w:gridCol w:w="78"/>
      </w:tblGrid>
      <w:tr>
        <w:trPr/>
        <w:tc>
          <w:tcPr>
            <w:tcW w:w="74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2026</w:t>
            </w:r>
          </w:p>
        </w:tc>
        <w:tc>
          <w:tcPr>
            <w:tcW w:w="78" w:type="dxa"/>
            <w:tcBorders/>
            <w:vAlign w:val="center"/>
          </w:tcPr>
          <w:p>
            <w:pPr>
              <w:pStyle w:val="TableContents"/>
              <w:bidi w:val="0"/>
              <w:spacing w:before="0" w:after="283"/>
              <w:jc w:val="left"/>
              <w:rPr/>
            </w:pPr>
            <w:r>
              <w:rPr/>
              <w:t> </w:t>
            </w:r>
          </w:p>
        </w:tc>
      </w:tr>
      <w:tr>
        <w:trPr/>
        <w:tc>
          <w:tcPr>
            <w:tcW w:w="74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franchise fees (a)</w:t>
            </w:r>
          </w:p>
        </w:tc>
        <w:tc>
          <w:tcPr>
            <w:tcW w:w="60" w:type="dxa"/>
            <w:tcBorders/>
            <w:shd w:fill="CCEEFF" w:val="clear"/>
            <w:vAlign w:val="center"/>
          </w:tcPr>
          <w:p>
            <w:pPr>
              <w:pStyle w:val="TableContents"/>
              <w:bidi w:val="0"/>
              <w:spacing w:before="0" w:after="283"/>
              <w:ind w:left="0" w:right="0" w:hanging="0"/>
              <w:jc w:val="left"/>
              <w:rPr/>
            </w:pPr>
            <w:r>
              <w:rPr/>
              <w:t> </w:t>
            </w:r>
          </w:p>
        </w:tc>
        <w:tc>
          <w:tcPr>
            <w:tcW w:w="3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w:t>
            </w:r>
          </w:p>
        </w:tc>
        <w:tc>
          <w:tcPr>
            <w:tcW w:w="78" w:type="dxa"/>
            <w:tcBorders/>
            <w:shd w:fill="CCEEFF" w:val="clear"/>
            <w:vAlign w:val="center"/>
          </w:tcPr>
          <w:p>
            <w:pPr>
              <w:pStyle w:val="TableContents"/>
              <w:bidi w:val="0"/>
              <w:spacing w:before="0" w:after="283"/>
              <w:jc w:val="left"/>
              <w:rPr/>
            </w:pPr>
            <w:r>
              <w:rPr/>
              <w:t> </w:t>
            </w:r>
          </w:p>
        </w:tc>
      </w:tr>
      <w:tr>
        <w:trPr/>
        <w:tc>
          <w:tcPr>
            <w:tcW w:w="7466"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revenues, which are included in “Accrued expenses and other current liabilities” (b)</w:t>
            </w:r>
          </w:p>
        </w:tc>
        <w:tc>
          <w:tcPr>
            <w:tcW w:w="60" w:type="dxa"/>
            <w:tcBorders/>
            <w:shd w:fill="FFFFFF" w:val="clear"/>
            <w:vAlign w:val="center"/>
          </w:tcPr>
          <w:p>
            <w:pPr>
              <w:pStyle w:val="TableContents"/>
              <w:bidi w:val="0"/>
              <w:spacing w:before="0" w:after="283"/>
              <w:ind w:left="0" w:right="0" w:hanging="0"/>
              <w:jc w:val="left"/>
              <w:rPr/>
            </w:pPr>
            <w:r>
              <w:rPr/>
              <w:t> </w:t>
            </w:r>
          </w:p>
        </w:tc>
        <w:tc>
          <w:tcPr>
            <w:tcW w:w="320"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0"/>
        <w:gridCol w:w="9935"/>
      </w:tblGrid>
      <w:tr>
        <w:trPr/>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franchise fees of $179 and 496 as of June 28, 2026 and $192 and $509 as of March 29, 2026 are included in Deferred franchise fees – current and long term, respectively.</w:t>
            </w:r>
          </w:p>
        </w:tc>
      </w:tr>
    </w:tbl>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$358 of deferred license royalties and $250 of deferred advertising fund revenue as of June 28, 2026 and $815 of deferred license royalties and $500 of deferred advertising fund revenue as of March 29,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changes in deferred franchise fees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404" w:type="dxa"/>
        <w:jc w:val="left"/>
        <w:tblInd w:w="0" w:type="dxa"/>
        <w:tblLayout w:type="fixed"/>
        <w:tblCellMar>
          <w:top w:w="0" w:type="dxa"/>
          <w:left w:w="0" w:type="dxa"/>
          <w:bottom w:w="0" w:type="dxa"/>
          <w:right w:w="0" w:type="dxa"/>
        </w:tblCellMar>
      </w:tblPr>
      <w:tblGrid>
        <w:gridCol w:w="3710"/>
        <w:gridCol w:w="60"/>
        <w:gridCol w:w="322"/>
        <w:gridCol w:w="867"/>
        <w:gridCol w:w="118"/>
        <w:gridCol w:w="88"/>
        <w:gridCol w:w="236"/>
        <w:gridCol w:w="923"/>
        <w:gridCol w:w="80"/>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Thirteen weeks ended</w:t>
            </w:r>
          </w:p>
        </w:tc>
        <w:tc>
          <w:tcPr>
            <w:tcW w:w="80"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2026</w:t>
            </w:r>
          </w:p>
        </w:tc>
        <w:tc>
          <w:tcPr>
            <w:tcW w:w="11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80"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franchise fees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701</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deferrals due to cash received and other</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during the period</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w:t>
            </w:r>
          </w:p>
        </w:tc>
        <w:tc>
          <w:tcPr>
            <w:tcW w:w="11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88" w:type="dxa"/>
            <w:tcBorders/>
            <w:shd w:fill="CCEEFF" w:val="clear"/>
            <w:vAlign w:val="center"/>
          </w:tcPr>
          <w:p>
            <w:pPr>
              <w:pStyle w:val="TableContents"/>
              <w:bidi w:val="0"/>
              <w:spacing w:before="0" w:after="283"/>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franchise fees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675</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changes in deferred revenues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291" w:type="dxa"/>
        <w:jc w:val="left"/>
        <w:tblInd w:w="0" w:type="dxa"/>
        <w:tblLayout w:type="fixed"/>
        <w:tblCellMar>
          <w:top w:w="0" w:type="dxa"/>
          <w:left w:w="0" w:type="dxa"/>
          <w:bottom w:w="0" w:type="dxa"/>
          <w:right w:w="0" w:type="dxa"/>
        </w:tblCellMar>
      </w:tblPr>
      <w:tblGrid>
        <w:gridCol w:w="3620"/>
        <w:gridCol w:w="60"/>
        <w:gridCol w:w="243"/>
        <w:gridCol w:w="946"/>
        <w:gridCol w:w="105"/>
        <w:gridCol w:w="78"/>
        <w:gridCol w:w="237"/>
        <w:gridCol w:w="922"/>
        <w:gridCol w:w="8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1"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Thirteen weeks ended</w:t>
            </w:r>
          </w:p>
        </w:tc>
        <w:tc>
          <w:tcPr>
            <w:tcW w:w="8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2026</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8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revenues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1,315</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deferrals due to cash received and other</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during the period</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(707</w:t>
            </w:r>
          </w:p>
        </w:tc>
        <w:tc>
          <w:tcPr>
            <w:tcW w:w="1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8"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608</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Anticipated future recognition of deferred franchise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reflects the estimated franchise fees to be recognized in the future related to performance obligations that are unsatisfied at the end of the period (in thousands):</w:t>
      </w:r>
    </w:p>
    <w:p>
      <w:pPr>
        <w:pStyle w:val="TextBody"/>
        <w:bidi w:val="0"/>
        <w:spacing w:before="0" w:after="0"/>
        <w:ind w:left="0" w:right="0" w:hanging="0"/>
        <w:jc w:val="left"/>
        <w:rPr>
          <w:caps w:val="false"/>
          <w:smallCaps w:val="false"/>
        </w:rPr>
      </w:pPr>
      <w:r>
        <w:rPr>
          <w:caps w:val="false"/>
          <w:smallCaps w:val="false"/>
        </w:rPr>
        <w:t> </w:t>
      </w:r>
    </w:p>
    <w:tbl>
      <w:tblPr>
        <w:tblW w:w="2994" w:type="dxa"/>
        <w:jc w:val="left"/>
        <w:tblInd w:w="0" w:type="dxa"/>
        <w:tblLayout w:type="fixed"/>
        <w:tblCellMar>
          <w:top w:w="0" w:type="dxa"/>
          <w:left w:w="0" w:type="dxa"/>
          <w:bottom w:w="0" w:type="dxa"/>
          <w:right w:w="0" w:type="dxa"/>
        </w:tblCellMar>
      </w:tblPr>
      <w:tblGrid>
        <w:gridCol w:w="860"/>
        <w:gridCol w:w="60"/>
        <w:gridCol w:w="542"/>
        <w:gridCol w:w="1457"/>
        <w:gridCol w:w="75"/>
      </w:tblGrid>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Estimate for fiscal year</w:t>
            </w:r>
          </w:p>
        </w:tc>
        <w:tc>
          <w:tcPr>
            <w:tcW w:w="75"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2027(a)</w:t>
            </w:r>
          </w:p>
        </w:tc>
        <w:tc>
          <w:tcPr>
            <w:tcW w:w="60"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45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151</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ind w:left="0" w:right="0" w:hanging="0"/>
              <w:jc w:val="left"/>
              <w:rPr/>
            </w:pPr>
            <w:r>
              <w:rPr/>
              <w:t> </w:t>
            </w:r>
          </w:p>
        </w:tc>
        <w:tc>
          <w:tcPr>
            <w:tcW w:w="145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107</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ind w:left="0" w:right="0" w:hanging="0"/>
              <w:jc w:val="left"/>
              <w:rPr/>
            </w:pPr>
            <w:r>
              <w:rPr/>
              <w:t> </w:t>
            </w:r>
          </w:p>
        </w:tc>
        <w:tc>
          <w:tcPr>
            <w:tcW w:w="145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ind w:left="0" w:right="0" w:hanging="0"/>
              <w:jc w:val="left"/>
              <w:rPr/>
            </w:pPr>
            <w:r>
              <w:rPr/>
              <w:t> </w:t>
            </w:r>
          </w:p>
        </w:tc>
        <w:tc>
          <w:tcPr>
            <w:tcW w:w="145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ind w:left="0" w:right="0" w:hanging="0"/>
              <w:jc w:val="left"/>
              <w:rPr/>
            </w:pPr>
            <w:r>
              <w:rPr/>
              <w:t> </w:t>
            </w:r>
          </w:p>
        </w:tc>
        <w:tc>
          <w:tcPr>
            <w:tcW w:w="145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44</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232</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4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1"/>
        <w:gridCol w:w="9954"/>
      </w:tblGrid>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franchise fees expected to be recognized for the remainder of the 2027 fiscal year, which includes international development fees expected to be recognized over the duration of one year or less. Amount does not include $54 of franchise fee revenue recognized for the thirteen weeks ended June 28,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applied the optional exemption, as provided for under Topic 606 “</w:t>
      </w:r>
      <w:r>
        <w:rPr>
          <w:rFonts w:ascii="Times New Roman" w:hAnsi="Times New Roman"/>
          <w:i/>
          <w:caps w:val="false"/>
          <w:smallCaps w:val="false"/>
          <w:sz w:val="20"/>
        </w:rPr>
        <w:t>Revenues from Contracts with Customers,</w:t>
      </w:r>
      <w:r>
        <w:rPr>
          <w:rFonts w:ascii="Times New Roman" w:hAnsi="Times New Roman"/>
          <w:caps w:val="false"/>
          <w:smallCaps w:val="false"/>
          <w:sz w:val="20"/>
        </w:rPr>
        <w:t>” which allows us to not disclose the transaction price allocated to unsatisfied performance obligations when the transaction price is a sales-based royalty.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D – INCOME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income per common share is calculated by dividing net income by the weighted average number of common shares outstanding and excludes any dilutive effect of share-based awards. Diluted net income per common share gives effect to all potentially dilutive common shares that were outstanding during the period. Dilutive common shares used in the computation of diluted net income per common share result from the assumed exercise of stock options as determined using the treasury stock method and restricted stock unit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chart provides a reconciliation of information used in calculating the per-share amounts for the thirteen week periods ended June 28, 2026 and June 29, 2025, respectively (in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6313" w:type="dxa"/>
        <w:jc w:val="left"/>
        <w:tblInd w:w="0" w:type="dxa"/>
        <w:tblLayout w:type="fixed"/>
        <w:tblCellMar>
          <w:top w:w="0" w:type="dxa"/>
          <w:left w:w="0" w:type="dxa"/>
          <w:bottom w:w="0" w:type="dxa"/>
          <w:right w:w="0" w:type="dxa"/>
        </w:tblCellMar>
      </w:tblPr>
      <w:tblGrid>
        <w:gridCol w:w="3680"/>
        <w:gridCol w:w="60"/>
        <w:gridCol w:w="159"/>
        <w:gridCol w:w="1075"/>
        <w:gridCol w:w="60"/>
        <w:gridCol w:w="60"/>
        <w:gridCol w:w="149"/>
        <w:gridCol w:w="1010"/>
        <w:gridCol w:w="60"/>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28, 2026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6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8,928</w:t>
            </w:r>
          </w:p>
        </w:tc>
        <w:tc>
          <w:tcPr>
            <w:tcW w:w="6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basic shares outstanding</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4,095,000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4,089,000</w:t>
            </w:r>
          </w:p>
        </w:tc>
        <w:tc>
          <w:tcPr>
            <w:tcW w:w="6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share-based awards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w:t>
            </w:r>
          </w:p>
        </w:tc>
        <w:tc>
          <w:tcPr>
            <w:tcW w:w="6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diluted shares outstanding</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4,129,000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4,124,000</w:t>
            </w:r>
          </w:p>
        </w:tc>
        <w:tc>
          <w:tcPr>
            <w:tcW w:w="6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6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anti-dilutive share-based awards for the thirteen week periods ended June 28, 2026 and June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E – CASH AND CASH EQUIVALENTS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and cash equivalents principally consist of cash in bank accounts, money market accounts and money market funds. The Company considers money market accounts and money market funds to be cash equivalents. Cash equivalents were $17,087 and $17,703 at June 28, 2026 and March 29, 2026,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June 28, 2026 and March 29, 2026, substantially all of the Company’s cash balances are in excess of insurance limits of the Federal Deposit Insurance Corporation, or the FDIC. The Company has not experienced any losses in such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F –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Nathan’s follows a three-level fair value hierarchy that prioritizes the inputs to measure fair value. This hierarchy requires entities to maximize the use of “observable inputs” and minimize the use of “unobservable inputs.” The valuation hierarchy is based upon the transparency of inputs to the valuation of an asset or liability on the measurement date. The three levels are defined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1 - inputs to the valuation methodology are quoted prices (unadjusted) for an identical asset or liability in an active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2 - inputs to the valuation methodology include quoted prices for a similar asset or liability in an active market or model-derived valuations in which all significant inputs are observable for substantially the full term of the asset or liability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3 - inputs to the valuation methodology are unobservable and significant to the fair value measurement of the asset or liability and reflect the Company’s own 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carrying amounts reported in the Company’s Condensed Consolidated Balance Sheets for cash and cash equivalents, accounts receivable and accounts payable approximate fair value due to the short-term nature of those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carrying amount of our long-term debt (see Note P – LONG-TERM DEBT) also approximates fair value since such borrowings bear interest at variable market rates and is categorized as Level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non-financial assets and liabilities are measured at fair value on a non-recurring basis; that is, the assets and liabilities are not measured at fair value on an ongoing basis but are subject to fair value adjustments in certain circumstances, such as when evidence of impairment exists. At June 28, 2026, no fair value adjustment or material fair value measurements were required for non-financial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G – ACCOUNTS AND OTHER RECEIVABLES,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Accounts and other receivables, net, consist of the following (in thousands):</w:t>
      </w:r>
    </w:p>
    <w:p>
      <w:pPr>
        <w:pStyle w:val="TextBody"/>
        <w:bidi w:val="0"/>
        <w:spacing w:before="0" w:after="0"/>
        <w:ind w:left="0" w:right="0" w:hanging="0"/>
        <w:jc w:val="both"/>
        <w:rPr>
          <w:caps w:val="false"/>
          <w:smallCaps w:val="false"/>
        </w:rPr>
      </w:pPr>
      <w:r>
        <w:rPr>
          <w:caps w:val="false"/>
          <w:smallCaps w:val="false"/>
        </w:rPr>
        <w:t> </w:t>
      </w:r>
    </w:p>
    <w:tbl>
      <w:tblPr>
        <w:tblW w:w="4748" w:type="dxa"/>
        <w:jc w:val="left"/>
        <w:tblInd w:w="0" w:type="dxa"/>
        <w:tblLayout w:type="fixed"/>
        <w:tblCellMar>
          <w:top w:w="0" w:type="dxa"/>
          <w:left w:w="0" w:type="dxa"/>
          <w:bottom w:w="0" w:type="dxa"/>
          <w:right w:w="0" w:type="dxa"/>
        </w:tblCellMar>
      </w:tblPr>
      <w:tblGrid>
        <w:gridCol w:w="2900"/>
        <w:gridCol w:w="60"/>
        <w:gridCol w:w="126"/>
        <w:gridCol w:w="598"/>
        <w:gridCol w:w="80"/>
        <w:gridCol w:w="60"/>
        <w:gridCol w:w="147"/>
        <w:gridCol w:w="697"/>
        <w:gridCol w:w="80"/>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8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Branded product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20,093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16,274</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and license royalties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4,153</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32,042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20,618</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(765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and other receivables,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31,277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provision for credit losses is based on the current expected credit losses model. The Company is exposed to credit losses through its trade accounts receivable. Trade accounts receivable are generally due within 30 days and are stated at amounts due from franchisees, including virtual kitchens, retail licensees and Branded Product Program customers, net of an allowance for credit losses. Accounts that are outstanding longer than the contractual payment terms are generally considered past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allowance for credit losses is determined by pooling financial assets based on similar risk characteristics and delinquency status under an aging method at the measurement date. The Company considers both qualitative and quantitative information when developing the estimate including assessments of collectability based on historical trends, the financial condition of the Company’s franchisees, licensees and Branded Product Program customers, including any known or anticipated bankruptcies, and an evaluation of current economic conditions as well as the Company’s expectations of conditions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provides for expected credit losses through a charge to earnings. After the Company has used reasonable collection efforts, it writes off accounts receivable through a charge to the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the Company’s allowance for credit losses for the thirteen week period ended June 28, 2026 and the fiscal year ended March 29, 2026 are as follows (in thousands):</w:t>
      </w:r>
    </w:p>
    <w:p>
      <w:pPr>
        <w:pStyle w:val="TextBody"/>
        <w:bidi w:val="0"/>
        <w:spacing w:before="0" w:after="0"/>
        <w:ind w:left="0" w:right="0" w:firstLine="18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2885"/>
        <w:gridCol w:w="60"/>
        <w:gridCol w:w="197"/>
        <w:gridCol w:w="527"/>
        <w:gridCol w:w="80"/>
        <w:gridCol w:w="60"/>
        <w:gridCol w:w="229"/>
        <w:gridCol w:w="615"/>
        <w:gridCol w:w="6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Write offs and recoveries</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H – 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Prepaid expenses and other current assets consist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638" w:type="dxa"/>
        <w:jc w:val="left"/>
        <w:tblInd w:w="0" w:type="dxa"/>
        <w:tblLayout w:type="fixed"/>
        <w:tblCellMar>
          <w:top w:w="0" w:type="dxa"/>
          <w:left w:w="0" w:type="dxa"/>
          <w:bottom w:w="0" w:type="dxa"/>
          <w:right w:w="0" w:type="dxa"/>
        </w:tblCellMar>
      </w:tblPr>
      <w:tblGrid>
        <w:gridCol w:w="3830"/>
        <w:gridCol w:w="60"/>
        <w:gridCol w:w="148"/>
        <w:gridCol w:w="576"/>
        <w:gridCol w:w="60"/>
        <w:gridCol w:w="60"/>
        <w:gridCol w:w="173"/>
        <w:gridCol w:w="671"/>
        <w:gridCol w:w="6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6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 estate taxes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6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6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prepaid expenses and other 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I - INTANGIBLE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definite-lived intangible asset consists of trademarks, and the trade name and other intellectual property in connection with its Arthur Treacher’s co-branding agreements. Based upon review of the current Arthur Treacher’s co-branding agreements, the Company determined that the remaining useful lives of these agreements is two years concluding in fiscal year 2028, and the intangible asset is subject to annual amortization. The Company performs an annual impairment test, or more frequently if events or changes in circumstances indicate that the intangible asset may be impaired. The Company tests for recoverability of its definite-lived intangible asset based on the projected undiscounted cash flows to be derived from such co-branding agreements. Cash flow projections require significant estimates and assumptions by management. Should the estimates and assumptions prove to be incorrect, the Company may be required to record an impairment charge in future periods and such impairment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significant events or changes in circumstances during the thirteen weeks ended June 28, 2026 that would indicate that the carrying amount of the Company’s intangible asset may be impaired as of June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J - LONG 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Long-lived assets on a restaurant-by-restaurant basis are reviewed for impairment whenever events or changes in circumstances indicate that the carrying value may not be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Long-lived assets include property, equipment and right-of-use assets for operating leases with finite useful lives. Assets are grouped at the individual restaurant level, which represents the lowest level for which cash flows can be identified largely independent of the cash flows of other assets and liabilities. The Company generally considers a history of restaurant operating losses to be its primary indicator of potential impairment for individual restaurant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tests for recoverability based on the projected undiscounted cash flows to be derived from such assets. If the projected undiscounted future cash flows are less than the carrying value of the asset, the Company will record on a restaurant-by-restaurant basis, an impairment loss, if any, based on the difference between the estimated fair value and the carrying value of the asset. The Company generally measures fair value by considering discounted estimated future cash flows from such assets. Cash flow projections and fair value estimates require significant estimates and assumptions by management. Should the estimates and assumptions prove to be incorrect, the Company may be required to record impairment charges in future periods and such impairments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significant events or changes in circumstances during the thirteen weeks ended June 28, 2026 that would indicate that the carrying amount of the Company’s long-lived assets may be impaired as of June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K –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Accrued expenses and other current liabilities consist of the following (in thousands):         </w:t>
      </w:r>
    </w:p>
    <w:p>
      <w:pPr>
        <w:pStyle w:val="TextBody"/>
        <w:bidi w:val="0"/>
        <w:spacing w:before="0" w:after="0"/>
        <w:ind w:left="0" w:right="0" w:hanging="0"/>
        <w:jc w:val="left"/>
        <w:rPr>
          <w:caps w:val="false"/>
          <w:smallCaps w:val="false"/>
        </w:rPr>
      </w:pPr>
      <w:r>
        <w:rPr>
          <w:caps w:val="false"/>
          <w:smallCaps w:val="false"/>
        </w:rPr>
        <w:t> </w:t>
      </w:r>
    </w:p>
    <w:tbl>
      <w:tblPr>
        <w:tblW w:w="5968" w:type="dxa"/>
        <w:jc w:val="left"/>
        <w:tblInd w:w="0" w:type="dxa"/>
        <w:tblLayout w:type="fixed"/>
        <w:tblCellMar>
          <w:top w:w="0" w:type="dxa"/>
          <w:left w:w="0" w:type="dxa"/>
          <w:bottom w:w="0" w:type="dxa"/>
          <w:right w:w="0" w:type="dxa"/>
        </w:tblCellMar>
      </w:tblPr>
      <w:tblGrid>
        <w:gridCol w:w="4160"/>
        <w:gridCol w:w="60"/>
        <w:gridCol w:w="148"/>
        <w:gridCol w:w="576"/>
        <w:gridCol w:w="60"/>
        <w:gridCol w:w="60"/>
        <w:gridCol w:w="173"/>
        <w:gridCol w:w="671"/>
        <w:gridCol w:w="60"/>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6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Payroll and other benefits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3,285</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rebates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Rent and occupancy costs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Merger costs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use and other taxes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income taxes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expenses and other current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L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effective income tax rates for the thirteen weeks ended June 28, 2026 and June 29, 2025 were 27.4% and 27.2%, respectively. The effective income tax rate for the thirteen weeks ended June 28, 2026 reflected $3,334 of income tax expense recorded on $12,163 of pre-tax income. The effective income tax rate for the thirteen weeks ended June 29, 2025 reflected $3,329 of income tax expense recorded on $12,257 of pre-tax income. The effective tax rates are higher than the United States Federal statutory rates primarily due to state and local taxes, as well as non-deductible compensation under the Internal Revenue Code Section 162(m). The effective income tax rate for the thirteen weeks ended June 28, 2026 included an unfavorable discrete tax adjustment of 0.6% for non-deductible transaction costs offset, in part, by a favorable discrete tax adjustment of 0.4% for stock compensation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amount of unrecognized tax benefits included in Other liabilities at June 28, 2026 and March 29, 2026 was $375 and $362, respectively, all of which would impact the Company’s effective rate, if recognized. As of June 28, 2026 and March 29, 2026, the Company had approximately $372 and $355, respectively, of accrued interest and penalties in connection with unrecognized tax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American Rescue Plan Act (“ARPA”), among other things, includes provisions to expand the IRC Section 162(m) disallowance for deduction of certain compensation paid by publicly held corporations. Effective tax years starting after December 31, 2026 (March 29, 2027 for the Company), ARPA expands the limitation to cover the next five most highly compensated employees. We continue to evaluate the potential impact ARPA may have on our operations and consolidated financial statements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4, 2025, President Trump signed into law the One Big Beautiful Bill Act (“OBBBA”). The legislation has multiple effective dates, with certain provisions effective in 2025 and others implemented through 2027. The OBBBA makes permanent key elements of the Tax Cuts and Jobs Act, including 100% bonus depreciation, and the business interest expense limitation. The OBBBA did not have a material impact to our provision for income taxes for the thirteen weeks ended June 28, 2026. The Company is continuing to evaluate the full year impact of the OBBBA and, based on our preliminary analysis, we do not anticipate a material effect on our consolidated financial statements for the fiscal year ending March 28,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M –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Nathan’s considers itself to be a brand marketer of the Nathan’s Famous signature products to the foodservice industry pursuant to its various business structures. Nathan’s sells its products directly to consumers through its Restaurant Operations segment consisting of Company-owned and franchised restaurants, including virtual kitchens; to distributors that resell our products to the foodservice industry through the Branded Product Program; and by third party manufacturers pursuant to license agreements that sell our products to supermarkets, club stores and grocery stores nationwide.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Chief Executive Officer has been identified as the Chief Operating Decision Maker (“CODM”) who regularly reviews operating results, evaluates performance and allocates resources for the Branded Product Program, Product Licensing and Restaurant Operations segments based upon a number of factors, the primary profit measure being income from operations as reported on the Condensed Consolidated Statement of Earnings. The CODM regularly reviews revenues, gross profit and income from operations by segment when evaluating the financial performance of each segment. Significant segment expenses are monitored by the CODM and included in the tables below. Segment asset information is not used by the CODM to assess performance and allocate resources and therefore is not presented. Certain administrative expenses are not allocated to the segments and are reported within the Corporate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Branded Product Program </w:t>
      </w:r>
      <w:r>
        <w:rPr>
          <w:rFonts w:ascii="Times New Roman" w:hAnsi="Times New Roman"/>
          <w:caps w:val="false"/>
          <w:smallCaps w:val="false"/>
          <w:sz w:val="20"/>
        </w:rPr>
        <w:t>– This segment derives revenue principally from the sale of hot dog products either directly to foodservice operators or to various foodservice distributors who resell the products to foodservice operators.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Product licensing</w:t>
      </w:r>
      <w:r>
        <w:rPr>
          <w:rFonts w:ascii="Times New Roman" w:hAnsi="Times New Roman"/>
          <w:caps w:val="false"/>
          <w:smallCaps w:val="false"/>
          <w:sz w:val="20"/>
        </w:rPr>
        <w:t xml:space="preserve"> – This segment derives revenue, primarily in the form of royalties, from licensing a broad variety of Nathan’s Famous branded products, including our hot dogs, frozen crinkle-cut French fries and additional products through retail supermarkets, grocery channels and club stores throughout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Restaurant operations </w:t>
      </w:r>
      <w:r>
        <w:rPr>
          <w:rFonts w:ascii="Times New Roman" w:hAnsi="Times New Roman"/>
          <w:caps w:val="false"/>
          <w:smallCaps w:val="false"/>
          <w:sz w:val="20"/>
        </w:rPr>
        <w:t>– This segment derives revenue from the sale of our products at Company-owned restaurants and earns fees and royalties from its franchised restaurants, including its virtual kitchens.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from operating segments are from transactions with unaffiliated third parties and do not include any intersegment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interest and dividend income, and other income, net are managed centrally at the corporate level, and, accordingly, such items are not presented by segment since they are excluded from the measure of profitability reviewed by the CODM.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 segment information and reconcile our segment results to our consolidated results as reported on our Condensed Consolidated Statements of Earnings (in thousands):</w:t>
      </w:r>
    </w:p>
    <w:p>
      <w:pPr>
        <w:pStyle w:val="TextBody"/>
        <w:bidi w:val="0"/>
        <w:spacing w:before="0" w:after="0"/>
        <w:ind w:left="0" w:right="0" w:hanging="0"/>
        <w:jc w:val="left"/>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3740"/>
        <w:gridCol w:w="60"/>
        <w:gridCol w:w="65"/>
        <w:gridCol w:w="645"/>
        <w:gridCol w:w="60"/>
        <w:gridCol w:w="60"/>
        <w:gridCol w:w="76"/>
        <w:gridCol w:w="754"/>
        <w:gridCol w:w="60"/>
        <w:gridCol w:w="60"/>
        <w:gridCol w:w="99"/>
        <w:gridCol w:w="806"/>
        <w:gridCol w:w="60"/>
        <w:gridCol w:w="60"/>
        <w:gridCol w:w="82"/>
        <w:gridCol w:w="748"/>
        <w:gridCol w:w="80"/>
        <w:gridCol w:w="60"/>
        <w:gridCol w:w="60"/>
        <w:gridCol w:w="590"/>
        <w:gridCol w:w="80"/>
      </w:tblGrid>
      <w:tr>
        <w:trPr/>
        <w:tc>
          <w:tcPr>
            <w:tcW w:w="37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2026</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Branded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Product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Program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Product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Restaurant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Operations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54,062</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35,205</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18,857</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(1):</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Restaurant operating expenses (2)</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1,216</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Department expenses (3)</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623</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administration expenses (4)</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2,013</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Payroll expense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1,687</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239</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Advertising fund expense</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411</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13,541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(3,123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12,668</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 income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13,541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(3,628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12,163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3740"/>
        <w:gridCol w:w="60"/>
        <w:gridCol w:w="65"/>
        <w:gridCol w:w="645"/>
        <w:gridCol w:w="60"/>
        <w:gridCol w:w="60"/>
        <w:gridCol w:w="76"/>
        <w:gridCol w:w="754"/>
        <w:gridCol w:w="60"/>
        <w:gridCol w:w="60"/>
        <w:gridCol w:w="99"/>
        <w:gridCol w:w="806"/>
        <w:gridCol w:w="60"/>
        <w:gridCol w:w="60"/>
        <w:gridCol w:w="82"/>
        <w:gridCol w:w="748"/>
        <w:gridCol w:w="80"/>
        <w:gridCol w:w="60"/>
        <w:gridCol w:w="60"/>
        <w:gridCol w:w="590"/>
        <w:gridCol w:w="80"/>
      </w:tblGrid>
      <w:tr>
        <w:trPr/>
        <w:tc>
          <w:tcPr>
            <w:tcW w:w="3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Branded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Product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Program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Product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Restaurant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Operations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46,998</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28,423</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18,575</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(1):</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Restaurant operating expenses (2)</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Department expenses (3)</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administration expenses (4)</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Payroll expense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Advertising fund expense</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12,791</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 income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significant expense categories and amounts align with segment-level information that is regularly provided to the CODM.</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occupancy expenses, insurance expenses, utility costs, repair and maintenance expense and other Company-owned restaurant expenses.</w:t>
            </w:r>
          </w:p>
        </w:tc>
      </w:tr>
    </w:tbl>
    <w:tbl>
      <w:tblPr>
        <w:tblW w:w="8080" w:type="dxa"/>
        <w:jc w:val="left"/>
        <w:tblInd w:w="0" w:type="dxa"/>
        <w:tblLayout w:type="fixed"/>
        <w:tblCellMar>
          <w:top w:w="0" w:type="dxa"/>
          <w:left w:w="0" w:type="dxa"/>
          <w:bottom w:w="0" w:type="dxa"/>
          <w:right w:w="0" w:type="dxa"/>
        </w:tblCellMar>
      </w:tblPr>
      <w:tblGrid>
        <w:gridCol w:w="245"/>
        <w:gridCol w:w="783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78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travel expense, marketing and trade show expense and certain other overhead expenses.</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8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incentive compensation expense, share-based compensation expense, professional fees, occupancy expenses, provision for credit losses and certain other overhead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N –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share-based compensation expense during the thirteen week periods ended June 28, 2026 and June 29, 2025 was $280 and $288, respectively. Total share-based compensation expense is included in general and administrative expenses in our accompanying Condensed Consolidated Statements of Earnings. As of June 28, 2026, there was $1,869 of unamortized compensation expense related to share-based awards. We expect to recognize this expense over approximately 24 months, which represents the weighted average remaining requisite service periods for such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compensation expense for unvested share-based awards on a straight-line basis over the requisite service period. Compensation expense recognized under all share-based awards is as follows (in thousands):</w:t>
      </w:r>
    </w:p>
    <w:p>
      <w:pPr>
        <w:pStyle w:val="TextBody"/>
        <w:bidi w:val="0"/>
        <w:spacing w:before="0" w:after="0"/>
        <w:ind w:left="0" w:right="0" w:firstLine="1440"/>
        <w:jc w:val="both"/>
        <w:rPr>
          <w:caps w:val="false"/>
          <w:smallCaps w:val="false"/>
        </w:rPr>
      </w:pPr>
      <w:r>
        <w:rPr>
          <w:caps w:val="false"/>
          <w:smallCaps w:val="false"/>
        </w:rPr>
        <w:t> </w:t>
      </w:r>
    </w:p>
    <w:tbl>
      <w:tblPr>
        <w:tblW w:w="4734" w:type="dxa"/>
        <w:jc w:val="left"/>
        <w:tblInd w:w="0" w:type="dxa"/>
        <w:tblLayout w:type="fixed"/>
        <w:tblCellMar>
          <w:top w:w="0" w:type="dxa"/>
          <w:left w:w="0" w:type="dxa"/>
          <w:bottom w:w="0" w:type="dxa"/>
          <w:right w:w="0" w:type="dxa"/>
        </w:tblCellMar>
      </w:tblPr>
      <w:tblGrid>
        <w:gridCol w:w="2015"/>
        <w:gridCol w:w="60"/>
        <w:gridCol w:w="335"/>
        <w:gridCol w:w="899"/>
        <w:gridCol w:w="103"/>
        <w:gridCol w:w="103"/>
        <w:gridCol w:w="315"/>
        <w:gridCol w:w="844"/>
        <w:gridCol w:w="60"/>
      </w:tblGrid>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9" w:type="dxa"/>
            <w:gridSpan w:val="6"/>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Thirteen weeks ended</w:t>
            </w:r>
          </w:p>
        </w:tc>
        <w:tc>
          <w:tcPr>
            <w:tcW w:w="6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28, 2026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6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3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169</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3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compensation cost</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280</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new share-based awards granted during the thirteen week period ended June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Transactions with respect to stock options for the thirteen weeks ended June 28, 2026 are as follows:</w:t>
      </w:r>
    </w:p>
    <w:p>
      <w:pPr>
        <w:pStyle w:val="TextBody"/>
        <w:bidi w:val="0"/>
        <w:spacing w:before="0" w:after="0"/>
        <w:ind w:left="0" w:right="0" w:hanging="0"/>
        <w:jc w:val="left"/>
        <w:rPr>
          <w:caps w:val="false"/>
          <w:smallCaps w:val="false"/>
        </w:rPr>
      </w:pPr>
      <w:r>
        <w:rPr>
          <w:caps w:val="false"/>
          <w:smallCaps w:val="false"/>
        </w:rPr>
        <w:t> </w:t>
      </w:r>
    </w:p>
    <w:tbl>
      <w:tblPr>
        <w:tblW w:w="7793" w:type="dxa"/>
        <w:jc w:val="left"/>
        <w:tblInd w:w="0" w:type="dxa"/>
        <w:tblLayout w:type="fixed"/>
        <w:tblCellMar>
          <w:top w:w="0" w:type="dxa"/>
          <w:left w:w="0" w:type="dxa"/>
          <w:bottom w:w="0" w:type="dxa"/>
          <w:right w:w="0" w:type="dxa"/>
        </w:tblCellMar>
      </w:tblPr>
      <w:tblGrid>
        <w:gridCol w:w="3215"/>
        <w:gridCol w:w="60"/>
        <w:gridCol w:w="60"/>
        <w:gridCol w:w="695"/>
        <w:gridCol w:w="60"/>
        <w:gridCol w:w="60"/>
        <w:gridCol w:w="167"/>
        <w:gridCol w:w="648"/>
        <w:gridCol w:w="60"/>
        <w:gridCol w:w="60"/>
        <w:gridCol w:w="183"/>
        <w:gridCol w:w="1171"/>
        <w:gridCol w:w="60"/>
        <w:gridCol w:w="60"/>
        <w:gridCol w:w="240"/>
        <w:gridCol w:w="934"/>
        <w:gridCol w:w="6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35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w:t>
            </w:r>
          </w:p>
        </w:tc>
        <w:tc>
          <w:tcPr>
            <w:tcW w:w="60"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35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Intrinsic</w:t>
            </w:r>
          </w:p>
        </w:tc>
        <w:tc>
          <w:tcPr>
            <w:tcW w:w="60"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Exercise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35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w:t>
            </w:r>
          </w:p>
        </w:tc>
        <w:tc>
          <w:tcPr>
            <w:tcW w:w="60"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Life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at March 29,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3,432</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at June 28,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3,278</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exercisable at June 28,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Restricted stock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900"/>
        <w:jc w:val="left"/>
        <w:rPr>
          <w:rFonts w:ascii="Times New Roman" w:hAnsi="Times New Roman"/>
          <w:caps w:val="false"/>
          <w:smallCaps w:val="false"/>
          <w:sz w:val="20"/>
        </w:rPr>
      </w:pPr>
      <w:r>
        <w:rPr>
          <w:rFonts w:ascii="Times New Roman" w:hAnsi="Times New Roman"/>
          <w:caps w:val="false"/>
          <w:smallCaps w:val="false"/>
          <w:sz w:val="20"/>
        </w:rPr>
        <w:t>Transactions with respect to restricted stock units for the thirteen weeks ended June 28, 2026 are as follows:</w:t>
      </w:r>
    </w:p>
    <w:p>
      <w:pPr>
        <w:pStyle w:val="TextBody"/>
        <w:bidi w:val="0"/>
        <w:spacing w:before="0" w:after="0"/>
        <w:ind w:left="0" w:right="0" w:hanging="0"/>
        <w:jc w:val="left"/>
        <w:rPr>
          <w:caps w:val="false"/>
          <w:smallCaps w:val="false"/>
        </w:rPr>
      </w:pPr>
      <w:r>
        <w:rPr>
          <w:caps w:val="false"/>
          <w:smallCaps w:val="false"/>
        </w:rPr>
        <w:t> </w:t>
      </w:r>
    </w:p>
    <w:tbl>
      <w:tblPr>
        <w:tblW w:w="6060" w:type="dxa"/>
        <w:jc w:val="left"/>
        <w:tblInd w:w="0" w:type="dxa"/>
        <w:tblLayout w:type="fixed"/>
        <w:tblCellMar>
          <w:top w:w="0" w:type="dxa"/>
          <w:left w:w="0" w:type="dxa"/>
          <w:bottom w:w="0" w:type="dxa"/>
          <w:right w:w="0" w:type="dxa"/>
        </w:tblCellMar>
      </w:tblPr>
      <w:tblGrid>
        <w:gridCol w:w="4040"/>
        <w:gridCol w:w="60"/>
        <w:gridCol w:w="83"/>
        <w:gridCol w:w="822"/>
        <w:gridCol w:w="60"/>
        <w:gridCol w:w="60"/>
        <w:gridCol w:w="179"/>
        <w:gridCol w:w="696"/>
        <w:gridCol w:w="6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Grant-date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 share</w:t>
            </w:r>
          </w:p>
        </w:tc>
        <w:tc>
          <w:tcPr>
            <w:tcW w:w="6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restricted stock units at March 29, 2026</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67.59</w:t>
            </w:r>
          </w:p>
        </w:tc>
        <w:tc>
          <w:tcPr>
            <w:tcW w:w="6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restricted stock units at June 28, 2026</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O – STOCKHOLDERS’ EQUITY</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170"/>
        <w:gridCol w:w="84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84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Effective June 9, 2026, as permitted under the Merger Agreement, the Board of Directors (the “Board”) declared its regular quarterly cash dividend of $0.50 per share for fiscal 2027, which was paid on June 30, 2026 to stockholders of record as of the close of business on June 22, 2026 (the “June 2026 Regular Cash Dividend”). After the payment of the June 2026 Regular Cash Dividend, the Company is no longer permitted to declare and pay any further dividends under the Merger Agreement.</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170"/>
        <w:gridCol w:w="231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231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Stock Repurchase Programs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In 2016, the Board authorized increases to the sixth stock repurchase plan for the purchase of up to 1,200,000 shares of its common stock on behalf of the Company. As of June 28, 2026, Nathan’s had repurchased 1,101,884 shares at a cost of $39,000 under the sixth stock repurchase plan. At June 28, 2026 there were 98,116 shares remaining to be repurchased pursuant to the sixth stock repurchase plan. The plan does not have a set expiration date. Purchases under the Company’s stock repurchase program may be made from time to time, depending on market conditions, in open market or privately negotiated transactions, at prices deemed appropriate by management. There is no set time limit on the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P –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Long-term debt consists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24"/>
        <w:gridCol w:w="60"/>
        <w:gridCol w:w="238"/>
        <w:gridCol w:w="839"/>
        <w:gridCol w:w="80"/>
        <w:gridCol w:w="60"/>
        <w:gridCol w:w="196"/>
        <w:gridCol w:w="926"/>
        <w:gridCol w:w="82"/>
      </w:tblGrid>
      <w:tr>
        <w:trPr/>
        <w:tc>
          <w:tcPr>
            <w:tcW w:w="7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2026</w:t>
            </w:r>
          </w:p>
        </w:tc>
        <w:tc>
          <w:tcPr>
            <w:tcW w:w="82" w:type="dxa"/>
            <w:tcBorders/>
            <w:vAlign w:val="center"/>
          </w:tcPr>
          <w:p>
            <w:pPr>
              <w:pStyle w:val="TableContents"/>
              <w:bidi w:val="0"/>
              <w:spacing w:before="0" w:after="283"/>
              <w:jc w:val="left"/>
              <w:rPr/>
            </w:pPr>
            <w:r>
              <w:rPr/>
              <w:t> </w:t>
            </w:r>
          </w:p>
        </w:tc>
      </w:tr>
      <w:tr>
        <w:trPr/>
        <w:tc>
          <w:tcPr>
            <w:tcW w:w="7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772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SOFR Term Loan Borrowings with an effective interest rate of 5.152% and 5.175% at June 28, 2026 and March 29, 2026, respectively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839" w:type="dxa"/>
            <w:tcBorders/>
            <w:shd w:fill="CCEEFF" w:val="clear"/>
            <w:vAlign w:val="center"/>
          </w:tcPr>
          <w:p>
            <w:pPr>
              <w:pStyle w:val="TableContents"/>
              <w:bidi w:val="0"/>
              <w:spacing w:before="0" w:after="283"/>
              <w:jc w:val="right"/>
              <w:rPr/>
            </w:pPr>
            <w:r>
              <w:rPr/>
              <w:t> </w:t>
            </w:r>
            <w:r>
              <w:rPr>
                <w:rFonts w:ascii="Times New Roman;Times;serif" w:hAnsi="Times New Roman;Times;serif"/>
                <w:b/>
                <w:sz w:val="20"/>
              </w:rPr>
              <w:t>47,800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48,400</w:t>
            </w:r>
          </w:p>
        </w:tc>
        <w:tc>
          <w:tcPr>
            <w:tcW w:w="82" w:type="dxa"/>
            <w:tcBorders/>
            <w:shd w:fill="CCEEFF" w:val="clear"/>
            <w:vAlign w:val="center"/>
          </w:tcPr>
          <w:p>
            <w:pPr>
              <w:pStyle w:val="TableContents"/>
              <w:bidi w:val="0"/>
              <w:spacing w:before="0" w:after="283"/>
              <w:jc w:val="left"/>
              <w:rPr/>
            </w:pPr>
            <w:r>
              <w:rPr/>
              <w:t> </w:t>
            </w:r>
          </w:p>
        </w:tc>
      </w:tr>
      <w:tr>
        <w:trPr/>
        <w:tc>
          <w:tcPr>
            <w:tcW w:w="7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debt issuance costs</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2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net of debt issuance costs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47,561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48,143</w:t>
            </w:r>
          </w:p>
        </w:tc>
        <w:tc>
          <w:tcPr>
            <w:tcW w:w="82" w:type="dxa"/>
            <w:tcBorders/>
            <w:shd w:fill="FFFFFF" w:val="clear"/>
            <w:vAlign w:val="center"/>
          </w:tcPr>
          <w:p>
            <w:pPr>
              <w:pStyle w:val="TableContents"/>
              <w:bidi w:val="0"/>
              <w:spacing w:before="0" w:after="283"/>
              <w:jc w:val="left"/>
              <w:rPr/>
            </w:pPr>
            <w:r>
              <w:rPr/>
              <w:t> </w:t>
            </w:r>
          </w:p>
        </w:tc>
      </w:tr>
      <w:tr>
        <w:trPr/>
        <w:tc>
          <w:tcPr>
            <w:tcW w:w="77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 of long-term debt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(2,400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2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FFFF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45,743</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mandatory debt principal repayments as of June 28, 2026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2415" w:type="dxa"/>
        <w:jc w:val="left"/>
        <w:tblInd w:w="0" w:type="dxa"/>
        <w:tblLayout w:type="fixed"/>
        <w:tblCellMar>
          <w:top w:w="0" w:type="dxa"/>
          <w:left w:w="0" w:type="dxa"/>
          <w:bottom w:w="0" w:type="dxa"/>
          <w:right w:w="0" w:type="dxa"/>
        </w:tblCellMar>
      </w:tblPr>
      <w:tblGrid>
        <w:gridCol w:w="1580"/>
        <w:gridCol w:w="60"/>
        <w:gridCol w:w="125"/>
        <w:gridCol w:w="590"/>
        <w:gridCol w:w="60"/>
      </w:tblGrid>
      <w:tr>
        <w:trPr/>
        <w:tc>
          <w:tcPr>
            <w:tcW w:w="15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Fiscal Year</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41,200</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debt repayments through 2030 exceed the total carrying amount of the Company’s debt as of June 28, 2026 because the carrying amount reflects the unamortized portion of debt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10, 2024 (the “Effective Date”), the Company entered into a five-year unsecured Credit Agreement (the “Credit Agreement”) among the Company, as borrower, direct and indirect subsidiaries of the Company, as guarantors, the lenders from time to time party thereto (the “Lenders”) and Citibank, N.A., as administrative agent, swing line lender, L/C issuer and a Lender (capitalized terms used and not otherwise defined herein shall have the meanings set forth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Credit Agreement provides for a term loan facility (“Term Loan”) of $60,000 and a revolving credit facility (“Revolving Loan”) of up to $10,000. The Credit Agreement also provides that the Company has the right from time to time during the term of the Credit Agreement to request the Lenders for incremental revolving loan borrowing increases of up to an additional $10,000 in the aggregate, subject to, among other items, the Lenders agreeing to lend any such additional amounts and compliance with terms specified in the Credit Agreement. The Credit Agreement matures on July 10,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borrowed $60,000 in Term Loan borrowings on the Effective Date to refinance and redeem its outstanding 2025 Notes. The Company will use any Revolving Loan borrowings under the Credit Agreement for working capital and general corporate purposes. As of June 28, 2026, there were no outstanding borrowings under the Revolving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Term Loan and Revolving Loan borrowings under the Credit Agreement bear interest at a rate per annum, at the Company’s option, of (a) for Base Rate Loans, the Base Rate plus the Applicable Rate of 0.00% or (b) for Term SOFR Loans, Term SOFR plus the Applicable Rate of 1.40% for one (1), three (3) or six (6) month periods, as selected by the Company in its Loan Notice. The Company is subject to a commitment fee of 0.20% per annum on the daily amount of the undrawn portion of the Revolving Committed Amount. The interest rate on the Term Loan borrowings at June 28, 2026 was 5.152%.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Credit Agreement contains customary affirmative covenants and negative covenants and requires the Company to maintain a Consolidated Fixed Charge Ratio not to exceed 1.20 to 1.00 and a Consolidated Net Leverage Ratio not to exceed 3.00 to 1.00, in each case, as of the end of each fiscal quarter. The Company was in compliance with the covenants of the Credit Agreement at June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outstanding Term Loan borrowings under the Credit Agreement are payable in equal quarterly installments of 1.0% of the original principal amount of the Term Loan, or $600, which began on September 30, 2024, with the balance payable on the final maturity date. The Company made mandatory principal repayments on the Term Loan of $600 during fiscal 2027 and $2,400 during fiscal 2026. Subsequent to the quarter ending June 28, 2026, on June 30, 2026, the Company paid its next quarterly mandatory debt principal repayment of $600.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outstanding Term Loan borrowings and the Revolving Loan borrowings under the Credit Agreement are voluntarily prepayable by the Company without penalty or premium, provided, that each of the following shall require a mandatory prepayment of outstanding Term Loan borrowings and Revolving Loan borrowings by the Company as follows: (i) 100% of any Net Cash Proceeds in excess of $2,000 individually or in the aggregate over the term of the Credit Agreement in respect of any Extraordinary Receipt provided that the Company shall be permitted to reinvest such Net Cash Proceeds in accordance with the Credit Agreement, (ii) 100% of any Net Cash Proceeds of an Equity Issuance, (iii) 100% of any Net Cash Proceeds from a Debt Issuance and (iv) 100% of any Net Cash Proceeds from the Disposition of certain assets individually, or in the aggregate, in excess of $2,000 in any fiscal year provided that the Company shall be permitted to reinvest such Net Cash Proceeds in accordance with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obligations under the Credit Agreement are fully and unconditionally guaranteed by all of the Company’s 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Credit Agreement provides that certain Change of Control events constitutes an Event of Default. Such an Event of Default entitles the Lenders to, among other things, cause all outstanding debt obligations under the Credit Agreement to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announced, on January 20, 2026, the Company entered into the Merger Agreement, by and among the Company, the Buyer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Merger Agreement, and upon the terms and subject to the conditions thereof and in accordance with the General Corporation Law of the State of Delaware (“DGCL”), Merger Sub shall merge with and into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Merger Agreement, the Buyer at the Effective Time shall pay all outstanding obligations under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Q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party as lessee to various leases for land, buildings and certain office equipment for its Company-owned restaurants and corporate office. The Company previously leased and subleased one property; this arrangement was terminated on November 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Company as lessee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the net lease cost for the thirteen week periods ended June 28, 2026 and June 29, 2025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889" w:type="dxa"/>
        <w:jc w:val="left"/>
        <w:tblInd w:w="0" w:type="dxa"/>
        <w:tblLayout w:type="fixed"/>
        <w:tblCellMar>
          <w:top w:w="0" w:type="dxa"/>
          <w:left w:w="0" w:type="dxa"/>
          <w:bottom w:w="0" w:type="dxa"/>
          <w:right w:w="0" w:type="dxa"/>
        </w:tblCellMar>
      </w:tblPr>
      <w:tblGrid>
        <w:gridCol w:w="2195"/>
        <w:gridCol w:w="60"/>
        <w:gridCol w:w="323"/>
        <w:gridCol w:w="866"/>
        <w:gridCol w:w="103"/>
        <w:gridCol w:w="103"/>
        <w:gridCol w:w="315"/>
        <w:gridCol w:w="844"/>
        <w:gridCol w:w="8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Thirteen weeks ended</w:t>
            </w:r>
          </w:p>
        </w:tc>
        <w:tc>
          <w:tcPr>
            <w:tcW w:w="8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8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439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3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cost</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474</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Sublease income, net</w:t>
            </w:r>
          </w:p>
        </w:tc>
        <w:tc>
          <w:tcPr>
            <w:tcW w:w="60" w:type="dxa"/>
            <w:tcBorders/>
            <w:shd w:fill="CCEEFF" w:val="clear"/>
            <w:vAlign w:val="center"/>
          </w:tcPr>
          <w:p>
            <w:pPr>
              <w:pStyle w:val="TableContents"/>
              <w:bidi w:val="0"/>
              <w:spacing w:before="0" w:after="283"/>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3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913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the net lease cost are included in the Condensed Consolidated Statement of Earnings for the thirteen week periods ended June 28, 2026 and June 29, 2025 as follows (in thousands):</w:t>
      </w:r>
    </w:p>
    <w:p>
      <w:pPr>
        <w:pStyle w:val="TextBody"/>
        <w:bidi w:val="0"/>
        <w:spacing w:before="0" w:after="0"/>
        <w:ind w:left="0" w:right="0" w:hanging="0"/>
        <w:jc w:val="left"/>
        <w:rPr>
          <w:caps w:val="false"/>
          <w:smallCaps w:val="false"/>
        </w:rPr>
      </w:pPr>
      <w:r>
        <w:rPr>
          <w:caps w:val="false"/>
          <w:smallCaps w:val="false"/>
        </w:rPr>
        <w:t> </w:t>
      </w:r>
    </w:p>
    <w:tbl>
      <w:tblPr>
        <w:tblW w:w="5684" w:type="dxa"/>
        <w:jc w:val="left"/>
        <w:tblInd w:w="0" w:type="dxa"/>
        <w:tblLayout w:type="fixed"/>
        <w:tblCellMar>
          <w:top w:w="0" w:type="dxa"/>
          <w:left w:w="0" w:type="dxa"/>
          <w:bottom w:w="0" w:type="dxa"/>
          <w:right w:w="0" w:type="dxa"/>
        </w:tblCellMar>
      </w:tblPr>
      <w:tblGrid>
        <w:gridCol w:w="2990"/>
        <w:gridCol w:w="60"/>
        <w:gridCol w:w="323"/>
        <w:gridCol w:w="866"/>
        <w:gridCol w:w="103"/>
        <w:gridCol w:w="103"/>
        <w:gridCol w:w="315"/>
        <w:gridCol w:w="844"/>
        <w:gridCol w:w="8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Thirteen weeks ended</w:t>
            </w:r>
          </w:p>
        </w:tc>
        <w:tc>
          <w:tcPr>
            <w:tcW w:w="8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8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Restaurant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692</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3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Other income, net</w:t>
            </w:r>
          </w:p>
        </w:tc>
        <w:tc>
          <w:tcPr>
            <w:tcW w:w="60" w:type="dxa"/>
            <w:tcBorders/>
            <w:shd w:fill="CCEEFF" w:val="clear"/>
            <w:vAlign w:val="center"/>
          </w:tcPr>
          <w:p>
            <w:pPr>
              <w:pStyle w:val="TableContents"/>
              <w:bidi w:val="0"/>
              <w:spacing w:before="0" w:after="283"/>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3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913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amounts included in the measurement of lease liabilities for the thirteen week periods ended June 28, 2026 and June 29, 2025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189" w:type="dxa"/>
        <w:jc w:val="left"/>
        <w:tblInd w:w="0" w:type="dxa"/>
        <w:tblLayout w:type="fixed"/>
        <w:tblCellMar>
          <w:top w:w="0" w:type="dxa"/>
          <w:left w:w="0" w:type="dxa"/>
          <w:bottom w:w="0" w:type="dxa"/>
          <w:right w:w="0" w:type="dxa"/>
        </w:tblCellMar>
      </w:tblPr>
      <w:tblGrid>
        <w:gridCol w:w="3500"/>
        <w:gridCol w:w="60"/>
        <w:gridCol w:w="323"/>
        <w:gridCol w:w="866"/>
        <w:gridCol w:w="103"/>
        <w:gridCol w:w="103"/>
        <w:gridCol w:w="315"/>
        <w:gridCol w:w="844"/>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Thirteen weeks ended</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566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3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weighted average remaining lease term and weighted average discount rate for operating leases as of June 28, 2026 were as follows:</w:t>
      </w:r>
    </w:p>
    <w:p>
      <w:pPr>
        <w:pStyle w:val="TextBody"/>
        <w:bidi w:val="0"/>
        <w:spacing w:before="0" w:after="0"/>
        <w:ind w:left="0" w:right="0" w:firstLine="1800"/>
        <w:jc w:val="left"/>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3875"/>
        <w:gridCol w:w="60"/>
        <w:gridCol w:w="60"/>
        <w:gridCol w:w="485"/>
        <w:gridCol w:w="230"/>
      </w:tblGrid>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w:t>
            </w:r>
          </w:p>
        </w:tc>
        <w:tc>
          <w:tcPr>
            <w:tcW w:w="23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8.449</w:t>
            </w:r>
          </w:p>
        </w:tc>
        <w:tc>
          <w:tcPr>
            <w:tcW w:w="23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Future lease commitments to be paid and received by the Company as of June 28, 2026 were as follows (in thousands):</w:t>
      </w:r>
    </w:p>
    <w:p>
      <w:pPr>
        <w:pStyle w:val="TextBody"/>
        <w:bidi w:val="0"/>
        <w:spacing w:before="0" w:after="0"/>
        <w:ind w:left="0" w:right="0" w:firstLine="360"/>
        <w:jc w:val="left"/>
        <w:rPr>
          <w:caps w:val="false"/>
          <w:smallCaps w:val="false"/>
        </w:rPr>
      </w:pPr>
      <w:r>
        <w:rPr>
          <w:caps w:val="false"/>
          <w:smallCaps w:val="false"/>
        </w:rPr>
        <w:t> </w:t>
      </w:r>
    </w:p>
    <w:tbl>
      <w:tblPr>
        <w:tblW w:w="6353" w:type="dxa"/>
        <w:jc w:val="left"/>
        <w:tblInd w:w="0" w:type="dxa"/>
        <w:tblLayout w:type="fixed"/>
        <w:tblCellMar>
          <w:top w:w="0" w:type="dxa"/>
          <w:left w:w="0" w:type="dxa"/>
          <w:bottom w:w="0" w:type="dxa"/>
          <w:right w:w="0" w:type="dxa"/>
        </w:tblCellMar>
      </w:tblPr>
      <w:tblGrid>
        <w:gridCol w:w="2855"/>
        <w:gridCol w:w="60"/>
        <w:gridCol w:w="288"/>
        <w:gridCol w:w="1126"/>
        <w:gridCol w:w="80"/>
        <w:gridCol w:w="60"/>
        <w:gridCol w:w="221"/>
        <w:gridCol w:w="594"/>
        <w:gridCol w:w="60"/>
        <w:gridCol w:w="60"/>
        <w:gridCol w:w="182"/>
        <w:gridCol w:w="707"/>
        <w:gridCol w:w="6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Payments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Receipts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Subleases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Leases</w:t>
            </w:r>
          </w:p>
        </w:tc>
        <w:tc>
          <w:tcPr>
            <w:tcW w:w="6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2027(a)</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1,675</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commitments</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3,594</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 representing interest</w:t>
            </w:r>
          </w:p>
        </w:tc>
        <w:tc>
          <w:tcPr>
            <w:tcW w:w="60" w:type="dxa"/>
            <w:tcBorders/>
            <w:shd w:fill="CCEEFF" w:val="clear"/>
            <w:vAlign w:val="center"/>
          </w:tcPr>
          <w:p>
            <w:pPr>
              <w:pStyle w:val="TableContents"/>
              <w:bidi w:val="0"/>
              <w:spacing w:before="0" w:after="283"/>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 (b)</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future lease commitments to be paid and received by the Company for the remainder of the 2027 fiscal year. Amount does not include $520 of lease commitments paid and received by the Company for the thirteen week period ended June 28, 2026.</w:t>
            </w:r>
          </w:p>
        </w:tc>
      </w:tr>
    </w:tbl>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3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present value of minimum operating lease payments of $1,944 and $1,510 are included in “Current portion of operating lease liabilities” and “Long-term portion of operating lease liabilities,” respectively, on the Condensed Consolidated Balance Sheet.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Company as lessor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lease income for the thirteen week periods ended June 28, 2026 and June 29, 2025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2270"/>
        <w:gridCol w:w="60"/>
        <w:gridCol w:w="725"/>
        <w:gridCol w:w="464"/>
        <w:gridCol w:w="156"/>
        <w:gridCol w:w="156"/>
        <w:gridCol w:w="403"/>
        <w:gridCol w:w="756"/>
        <w:gridCol w:w="60"/>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6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Thirteen weeks ended</w:t>
            </w:r>
          </w:p>
        </w:tc>
        <w:tc>
          <w:tcPr>
            <w:tcW w:w="6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2026</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6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income, net</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46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R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and its subsidiaries are from time to time involved in ordinary and routine litigation. Management presently believes that the ultimate outcome of these proceedings, individually or in the aggregate, will not have a material adverse effect on the Company’s financial position, cash flows or results of operations. Nevertheless, litigation is subject to inherent uncertainties and unfavorable rulings could occur. An unfavorable ruling could include money damages and, in such event, could result in a material adverse impact on the Company’s results of operations for the period in which the ruling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Service Provider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engaged a financial advisor in connection with the Merger Agreement as defined and disclosed in NOTE T – MERGER to assist the Company and to provide certain advisory services. In connection with this arrangement, the Company may be required to pay such financial advisor certain contingent fees related to their services to the extent that certain conditions are met. The contingent fees related to this arrangement are based on (i) a fixed fee that was due and paid upon the delivery of a fairness opinion in January 2026 and (ii) a percentage fee based upon the aggregate transaction value net of the fixed fee in (i) above payable upon the closing of the transaction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S – SUPPLEMENTAL CASH FLOW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Non-cash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Dividends declared but not yet paid of $2,048 are included in Accrued expenses and other current liabilities on the Condensed Consolidated Balance Sheet at June 28, 2026 which were paid on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thirteen week period ended June 28, 2026, we issued 3,256 shares of common stock upon the exercise of 10,000 stock options by net share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T –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20, 2026, the Company entered into the Merger Agreement, by and among the Company, the Buyer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Merger Agreement, and upon the terms and subject to the conditions thereof and in accordance with the DGCL, Merger Sub shall merge with and into the Company. As a result of the Merger, at the Effective Time, the separate corporate existence of Merger Sub shall cease, the Company shall continue as the Surviving Corporation and the Surviving Corporation shall become a wholly owned subsidiary of Buyer. After the Merger, the Company will cease to be publicly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Effective Time, as a result of the Merger and without any action on the part of Buyer, Merger Sub, the Company or the holders of any of the following securities: (i) each share of common stock of the Company, par value $0.01 per share (“Company Shares”), issued and outstanding immediately prior to the Effective Time, other than shares to be cancelled in accordance with the terms of the Merger Agreement and shares owned by holders that have exercised their appraisal rights under the DGCL, shall be converted into the right to receive cash in an amount equal to $102.00 without interest (the “Per Share Merger Consideration”), less any applicable withholding tax, payable to the holder in accordance with the terms of the Merger Agreement, (ii) each share of common stock of Merger Sub issued and outstanding immediately prior to the Effective Time shall be converted into and become one fully paid, non-assessable share of common stock, par value $0.01 per share, of the Surviving Corporation, and (iii) any Company Shares owned or held in treasury by the Company and any Company Shares owned by Buyer, Merger Sub or any of their respective affiliates immediately prior to the Effective Time shall automatically be cancelled and shall cease to exist and no consideration shall be delivered in exchange for such cancellation or retirement. From and after the Effective Time, all Company Shares converted into the right to receive the Per Share Merger Consideration shall no longer be issued and outstanding and shall automatically be cancelled and cease to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Immediately prior to the Effective Time, (i) each option to purchase Company Shares outstanding under a Company Stock Plan (each a “Company Stock Option”), whether or not vested and exercisable, that is outstanding and unexercised immediately prior to the Effective Time, shall be automatically converted into the right to receive from Buyer or the Surviving Corporation an amount in cash (subject to applicable withholding taxes) equal to the product obtained by multiplying (A) the excess, if any, of the Per Share Merger Consideration over the per share exercise price of such Company Stock Option, by (B) the aggregate number of Company Shares that were issuable upon exercise of such Company Stock Option immediately prior to the Effective Time and (ii) each restricted stock unit of the Company granted and outstanding pursuant to a Company Stock Plan (each a “Company RSU”) shall be deemed to have been earned and become fully vested (in the case of any performance based award, with the applicable performance metrics at the target level), shall be canceled and extinguished as of the Effective Time and, in exchange, each former holder of any such Company RSU shall have the right to receive from Buyer or the Surviving Corporation an amount in cash equal to the product obtained by multiplying (A) the number of Company Shares subject to such Company RSU by (B) the Per Share Merger Consideration (such amount, the “RSU Award Payment”). Any dividend equivalents earned prior to the Effective Time will be paid in cash as soon as administratively practicable following settlement of the Company RSUs. From and after the Effective Time, each Company RSU shall no longer represent the right to receive Company Shares by the former holder thereof, but shall only entitle such holder to the payment of the RSU Award Payment. The Compensation Committee of the Company Board will adopt resolutions to provide that all Company Stock Options and Company RSUs shall terminate conditioned upon, and effective immediately prior to, the Effective Time and the holders thereof will be entitled only to the amount, if any, specified herein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also agreed not to, among other things, (i) solicit, initiate, knowingly encourage or knowingly facilitate any alternative competing transaction, (ii) participate in any discussions or negotiations with any third party with respect to any alternative competing transaction, (iii) approve or recommend any alternative competing transaction, (iv) enter into any letter of intent, memorandum of understanding, agreement in principle, acquisition agreement, merger agreement, share purchase agreement, asset purchase agreement, share exchange agreement, option agreement or other similar definitive agreement relating to an alternative competing transaction or (v) propose or agree to do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customary “no-shop” restrictions, if prior to obtaining the Company Stockholder Approval (as defined in the Merger Agreement) the Company receives an unsolicited written Acquisition Proposal (as defined in the Merger Agreement) from a third party and the Company Board determines in good faith that (x) such Acquisition Proposal constitutes or could be reasonably expected to result in a Superior Proposal (as defined in the Merger Agreement) and (y) the failure to take the actions set forth in clauses (i) and (ii) of this paragraph would be inconsistent with its fiduciary duties under law, the Company may, in response to such Acquisition Proposal, (i) furnish Company information and access to the third party making such Acquisition Proposal and (ii) participate in discussions or negotiations with such third party with respect to such Acquisition Proposal, or otherwise cooperate with or assist or participate in, or facilitate, any such discussions or negotiations.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consummation of the Merger is subject to certain closing conditions, including but not limited to (a) receipt of the Company Stockholder Approval, (b) that no law or governmental order prohibits, restrains, enjoins or makes illegal the consummation of the Merger, (c) that any waiting period (and any extension thereof) applicable to the Merger and the other transactions under the Hart-Scott-Rodino Antitrust Improvements Act of 1976 have terminated or expired and (d) that the parties have obtained CFIUS Clearance (as defined in the Merger Agreement) for the Merger. Each of Buyer’s, Merger Sub’s, and the Company’s obligation to consummate the Merger is also subject to certain additional conditions, including (i) subject to certain materiality standards, the accuracy of the representations and warranties of the other party or parties, (ii) performance in all material respects by the other party or parties of its or their obligations under the Merger Agreement and (iii) with respect to Buyer’s and Merger Sub’s obligations to consummate the Merger, the absence of a Company Material Adverse Effect (as defined in the Merger Agreement) with respect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Merger Agreement also contains certain termination provisions for the Company and Buyer, including the right of the Company, in certain circumstances, to terminate the Merger Agreement and accept a Superior Proposal. The Company will be required to pay Buyer a termination fee in cash equal to $10,581,814 if the Merger Agreement is terminated (a) by Buyer because the Company Board changed its recommendation of the Merger, (b) by Buyer or the Company if the approval of the Company’s stockholders is not obtained at the Stockholders’ Meeting and the Company Board previously changed its recommendation of the Merger or (c) (i) by Buyer or the Company following June 22, 2026, subject to extension to October 20, 2026 in accordance with the Merger Agreement (the “End Date”), (ii) by Buyer or the Company because of failure to obtain the approval of the stockholders at the Stockholders’ Meeting or (iii) by Buyer because of certain breaches of the Merger Agreement by the Company, only if, in the case of clauses (i) to (iii), an Acquisition Proposal has been made publicly and within nine (9) months of the termination date the Company consummates or enters into a definitive agreement for an Acquisition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the election of the Company, the Company and Smithfield Packaged Meats Corp., an affiliate of Buyer (“SPMC”), will enter into an amendment to the licensing and supply letter agreement, dated as of December 5, 2012 (the “Licensing Agreement”), by and between Nathan’s Famous Systems, Inc., a subsidiary of the Company, and SPMC, which will extend the term of the Licensing Agreement for an additional four years to March 2, 2036 from the current expiration date of March 2, 2032, and Buyer will be required to pay the Company a termination fee in cash equal to $7,407,270 if the Merger Agreement is terminated (a) because of a CFIUS Turndown (as defined in the Merger Agreement) and the Company is not in material breach of the Merger Agreement at the time of termination or (b) following the End Date if, at such time, (i) a government order or other government action would have prevented the consummation of the Merger (solely as it relates to CFIUS) or the parties have not received CFIUS Clearance, (ii) certain other closing conditions have been satisfied, (iii) the Company's breach of the provisions of the Merger Agreement to obtain certain consents and approvals is not the primary cause of a government order or other government action that would prevent the consummation of the Merger and (iv) the Company is not in material breach of the Merger Agreement at the time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20, 2026, the Company entered into letter agreements (each a “Retention Agreement”) with each of Eric Gatoff, Chief Executive Officer of the Company and Robert Steinberg, the Chief Financial Officer of the Company. Under the Retention Agreements, each such individual is entitled to a cash retention bonus payment if (1) such individual is actively employed by the Company or a subsidiary as of closing under the Merger Agreement and has not given notice of his intent to resign or (2) the individual is terminated by the Company for any reason and closing under the Merger Agreement later occurs. The retention bonus payment amount is $3,250,000 for Mr. Gatoff and $1,050,000 for Mr. Steinberg. As consideration for the retention bonus payment, Mr. Gatoff agreed to non-competition provisions that apply for one (1) year following the termination of his employment by the Company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incurred approximately $275,000 in legal fees in connection with the proposed Merger during the thirteen weeks ended June 28, 2026, included within “General and administrative expenses” on the Consolidated Statement of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 information regarding the Merger Agreement and the proposed Merger is included in the Company’s Current Report on Form 8-K filed with the SEC on January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U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evaluated subsequent events through the date the condensed consolidated financial statements were issued and filed with the SEC. There were no subsequent events that required recognition or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Form 10-Q contains “forward-looking statements” within the meaning of Section 27A of the Securities Act of 1933, as amended, and Section 21E of the Securities Exchange Act of 1934, as amended, that involve risks and uncertainties. Words such as “anticipate”, “believe”, “estimate”, “expect”, “intend”, and similar expressions identify forward-looking statements, which are based on the current belief of the Company’s management, as well as assumptions made by and information currently available to the Company’s management. Among the factors that could cause actual results to differ materially include but are not limited to: the occurrence of any event, change or other circumstances that could give rise to the termination of the Merger Agreement or the failure to satisfy the closing conditions; the possibility that the consummation of the proposed transaction is delayed or does not occur, including the failure of Nathan's stockholders to approve the proposed transaction; uncertainty as to whether the parties will be able to complete the proposed transaction on the terms set forth in the Merger Agreement; uncertainty regarding the timing of the receipt of required regulatory approvals for the proposed transaction and the possibility that the parties may be required to accept conditions that could reduce or eliminate the anticipated benefits of the proposed transaction as a condition to obtaining regulatory approvals or that the required regulatory approvals might not be obtained at all; the outcome of any legal proceedings that have been or may be instituted against the parties or others following announcement of the transactions contemplated by the Merger Agreement; challenges, disruptions and costs of integrating and achieving anticipated synergies, or that such synergies will take longer to realize than expected, risks that the proposed transaction and other transactions contemplated by the Merger Agreement disrupt current plans and operations that may harm Nathan's businesses; the amount of any costs, fees, expenses, impairments and charges related to the proposed transaction, and uncertainty as to the effects of the announcement or pendency of the proposed transaction on the market price of Nathan's common stock and/or on its financial performance; the impact of disease epidemics such as the COVID-19 pandemic; increases in the cost of food and paper products; the impact of price increases on customer visits; the status of our licensing and supply agreements, including our licensing revenue and overall profitability being substantially dependent on our agreement with Smithfield Foods, Inc.; the impact of our debt service and repayment obligations under our credit facility, including the effect on our ability to fund working capital, operations and make new investments; economic (including inflationary pressures like those currently being experienced); weather (including the impact on sales at our restaurants particularly during the summer months), and changes in the price of beef and beef trimmings; our ability to pass on the cost of any price increases in beef and beef trimmings; legislative and business conditions; potential changes in U.S. income tax or tariff policies; the collectability of receivables; changes in consumer tastes; the continued viability of Coney Island as a destination location for visitors; the ability to attract franchisees; the impact of the minimum wage legislation on labor costs in New York State or other changes in labor laws, including regulations which could render a franchisor as a “joint employer” or the impact of our union contracts; our ability to attract competent restaurant and managerial personnel; the enforceability of international franchising agreements; the future effects of any food borne illness, such as bovine spongiform encephalopathy, BSE and e coli; and the risk factors reported from time to time in the Company’s SEC reports. The Company does not undertake any obligation to update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is intended to help you understand us, our operations and our financial performance. It should be read in conjunction with our condensed consolidated financial statements and the accompanying notes, which are included elsewhere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used in this Report, the terms “we,” “us,” “our,” “Nathan’s” or the “Company” mean Nathan’s Famous, Inc. and its subsidiaries (unless the context indicates a different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engaged primarily in the marketing of the “Nathan’s Famous” brand and the sale of products bearing the “Nathan’s Famous” trademarks through several different channels of distribution. Historically, our business has been the operation and franchising of quick-service restaurants featuring Nathan’s World Famous Beef Hot Dogs, crinkle-cut French fries, and a variety of other menu offerings. Our Company-owned and franchised restaurants operate under the name “Nathan’s Famous,” the name first used at our original Coney Island restaurant opened in 1916. Nathan’s Product Licensing Program sells packaged hot dogs; frozen crinkle-cut French fries and additional products to retail customers through supermarkets, grocery channels and club stores for off-site consumption. Our Branded Product Program enables foodservice retailers and others to sell some of Nathan’s proprietary products outside of the realm of a traditional franchise relationship. In conjunction with this program, purchasers of Nathan’s products are granted a limited use of the Nathan’s Famous trademark with respect to the sale of the purchased products, including Nathan’s World Famous Beef Hot Dogs, certain other proprietary food items and paper goods. Our Branded Menu Program is a limited franchise program, under which foodservice operators may sell a greater variety of Nathan’s Famous menu items than under the Branded Product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revenues are generated primarily from selling products under Nathan’s Branded Product Program, operating Company-owned restaurants, licensing agreements for the sale of Nathan’s products within supermarkets, grocery stores and club stores, the sale of Nathan’s products directly to other foodservice operators, the manufacture of certain proprietary spices by third parties and the royalties, fees and other sums we can earn from franchising the Nathan’s restaurant concept (including the Branded Menu Program and virtual kitchens).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June 28, 2026, our restaurant system, excluding virtual kitchens, consisted of 223 locations, including 111 Branded Menu Program locations, as well as four Company-owned restaurants (including one seasonal unit), located in 19 states, and 11 foreign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June 29, 2025, our restaurant system, excluding virtual kitchens, consisted of 225 locations, including 115 Branded Menu Program locations, as well as four Company-owned restaurants (including one seasonal unit), located in 19 states, and 12 foreign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focus is to expand the market penetration of the Nathan’s Famous brand by increasing the number of distribution points for our products across all of our business platforms, including our Licensing Program for distribution of Nathan’s Famous branded consumer packaged goods, our Branded Products Program for distribution of Nathan’s Famous branded bulk products to the foodservice industry, and our namesake restaurant system comprised of both Company-owned restaurants and franchised locations, including virtual kitchens. The primary drivers of our growth have been our Licensing and Branded Product Programs which have been the largest contributors to the Company’s revenues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do not expect to significantly increase the number of Company-owned restaurants, we may opportunistically and strategically invest in a small number of new units as showcase locations for prospective franchisees and master developers as we seek to grow our franchise system. We continue to seek opportunities to drive sales in a variety of ways as we adapt to the ever-changing consumer and business climate.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described in our Annual Report on Form 10-K for the year ended March 29, 2026, our future results could be materially impacted by many developments including our dependence on Smithfield Foods, Inc. as our principal supplier and the dependence of our licensing revenue and overall profitability on our agreement with Smithfield Foods, Inc. In addition, our future operating results could be impacted by supply constraints on beef or by increased costs of beef, beef trimmings and other commodities due to inflationary pressures compared to earlier periods and our proposed transaction with Smithfield Foods, Inc. under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described below, we are also including information relating to EBITDA and Adjusted EBITDA, which are non-GAAP financial measures, in this Form 10-Q quarterly report. See “Reconciliation of GAAP and Non-GAAP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announced, on January 20, 2026, the Company entered into an Agreement and Plan of Merger (the “Merger Agreement”) with Smithfield Foods, Inc., a Virginia corporation (“Buyer”) and Boardwalk Merger Sub, Inc. a Delaware corporation and wholly owned subsidiary of Buyer (“Merger Sub”). Pursuant to the Merger Agreement, and upon the terms and subject to the conditions thereof and in accordance with the General Corporation Law of the State of Delaware (“DGCL”), Merger Sub shall merge with and into the Company (the “Merger,” and the effective time of the Merger, the “Effective Time”). As a result of the Merger, at the Effective Time, the separate corporate existence of Merger Sub shall cease, the Company shall continue as the surviving corporation in the Merger (the “Surviving Corporation”) and the Surviving Corporation shall become a wholly owned subsidiary of Buyer. After the Merger, the Company will cease to be publicly traded. Completion of the transaction remains contingent upon meeting several conditions specified in the Merger Agreement which include securing approval from the holders of a majority of Nathan’s outstanding stock, obtaining clearance from the Committee on Foreign Investment in the United States (CFIUS), and fulfilling other closing requirements. We expect the transaction to close in the second half of 2026. For more information regarding the Merger, see NOTE T – MERGER to the accompanying condensed consolidated financial statements included elsewhere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Inflationary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Inflationary pressures negatively impacted our earnings during the first three months of fiscal 2027, and we anticipate continued inflationary pressures on commodity prices, including beef and beef trimmings, as well as rising labor costs during the remainder of fiscal 2027. In general, we have been able to offset some of these cost increases resulting from inflation through various actions, such as increasing prices at our Company-owned restaurants and entering into sales agreements with our Branded Product Program customers that are correlated to our cost of beef and beef trimmings. We continue to monitor these inflationary pressures and may need to adjust our prices further to mitigate the impact of these inflationary pressures. Inherent volatility in commodity markets, including beef and beef trimmings, could have a significant impact on our results of operations. Delays in implementing price increases, competitive pressures, a decline in consumer spending levels and other factors may limit our ability to recover such cost increases.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discussed in our Form 10-K for the fiscal year ended March 29, 2026, the discussion and analysis of our financial condition and results of operations are based upon our condensed consolidated financial statements, which have been prepared in conformity with accounting principles generally accepted in the United States of America (“US GAAP”). The preparation of these condensed consolidated financial statements requires us to make estimates and assumptions that affect the amounts of assets, liabilities, revenues and expenses reported in those condensed consolidated financial statements. These judgments can be subjective and complex, and consequently, actual results could differ from those estimates. Our most critical accounting estimates relate to impairment of intangible assets; impairment of long-lived assets; current expected credit losses; customer rebates and income taxes (including uncertain tax positions). During the thirteen week period ended June 28, 2026, there have been no changes to our critical accounting estimates from those disclosed in our Annual Report on Form 10-K for the fiscal year ended March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New Accounting Standards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Please refer to NOTE B – NEW ACCOUNTING STANDARDS NOT YET ADOPTED in the accompanying condensed consolidated financial statements for our discussion of New Accounting Standards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EBITDA and Adjusted EBITDA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believes that EBITDA and Adjusted EBITDA, which are non-GAAP financial measures, are useful to investors to assist in assessing and understanding the Company's operating performance and underlying trends in the Company's business because EBITDA and Adjusted EBITDA are (i) among the measures used by management in evaluating performance and (ii) are frequently used by securities analysts, investors and other interested parties as a common performance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Reconciliation of GAAP and Non-GAAP Measures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provided to supplement certain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disclosing results that are determined in accordance with US GAAP, the Company has provided EBITDA, a non-GAAP financial measure, which is defined as net income excluding (i) interest expense; (ii) provision for income taxes and (iii) depreciation and amortization expense. The Company has also provided Adjusted EBITDA, a non-GAAP financial measure, which is defined as EBITDA, excluding (i) non-recurring transaction costs consisting primarily of professional fees incurred in connection with the Merger Agreement and (ii) share-based compensation that the Company believes will impact the comparability of its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EBITDA and Adjusted EBITDA are not recognized terms under US GAAP and should not be viewed as alternatives to net income or other measures of financial performance or liquidity in conformity with US GAAP. Additionally, our definitions of EBITDA and Adjusted EBITDA may differ from other companies. Analysis of results and outlook on a non-US GAAP basis should be used as a complement to, and in conjunction with, data presented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a reconciliation of net income to EBITDA and Adjusted EBITDA (in thousands):</w:t>
      </w:r>
    </w:p>
    <w:p>
      <w:pPr>
        <w:pStyle w:val="TextBody"/>
        <w:bidi w:val="0"/>
        <w:spacing w:before="0" w:after="0"/>
        <w:ind w:left="0" w:right="0" w:hanging="0"/>
        <w:jc w:val="left"/>
        <w:rPr>
          <w:caps w:val="false"/>
          <w:smallCaps w:val="false"/>
        </w:rPr>
      </w:pPr>
      <w:r>
        <w:rPr>
          <w:caps w:val="false"/>
          <w:smallCaps w:val="false"/>
        </w:rPr>
        <w:t> </w:t>
      </w:r>
    </w:p>
    <w:tbl>
      <w:tblPr>
        <w:tblW w:w="5142" w:type="dxa"/>
        <w:jc w:val="left"/>
        <w:tblInd w:w="0" w:type="dxa"/>
        <w:tblLayout w:type="fixed"/>
        <w:tblCellMar>
          <w:top w:w="0" w:type="dxa"/>
          <w:left w:w="0" w:type="dxa"/>
          <w:bottom w:w="0" w:type="dxa"/>
          <w:right w:w="0" w:type="dxa"/>
        </w:tblCellMar>
      </w:tblPr>
      <w:tblGrid>
        <w:gridCol w:w="2495"/>
        <w:gridCol w:w="60"/>
        <w:gridCol w:w="202"/>
        <w:gridCol w:w="1032"/>
        <w:gridCol w:w="67"/>
        <w:gridCol w:w="67"/>
        <w:gridCol w:w="202"/>
        <w:gridCol w:w="957"/>
        <w:gridCol w:w="6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7" w:type="dxa"/>
            <w:gridSpan w:val="6"/>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Thirteen weeks ended</w:t>
            </w:r>
          </w:p>
        </w:tc>
        <w:tc>
          <w:tcPr>
            <w:tcW w:w="6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28, 2026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6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6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8,829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8,928</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638</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3,334</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3,329</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239</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13,040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13,243</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(1)</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13,615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60"/>
        <w:gridCol w:w="245"/>
        <w:gridCol w:w="962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principally of legal costs incurred in connection with the transaction contemplated by the Merger Agreement.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routine business pattern is affected by seasonal fluctuations, including the effects of weather and economic conditions. Historically, sales from our Company-owned restaurants, principally at Coney Island, and franchised restaurants from which franchised royalties are earned and the Company’s earnings have been highest during our first two fiscal quarters, with the fourth quarter representing the slowest period. Routine seasonality is primarily attributable to weather conditions in the marketplace for our Company-owned and franchised restaurants, which are principally located in the Northeast of the United States. Additionally, revenues from our Branded Product Program, Branded Menu Program and Product licensing program generally follow similar seasonal fluctuations, although not to the same degree. We expect that this seasonality will continue. Working capital requirements may vary throughout the year to support these seasonal patterns.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Due to the above seasonal factors, as well as inflationary pressures, our results of operations for the thirteen weeks ended June 28, 2026 are not necessarily indicative of those for any other quarter or for a full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Thirteen weeks ended June 28, 2026 compared to thirteen weeks ended June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 xml:space="preserve">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revenues increased by approximately 15% to $54,062,000 for the thirteen weeks ended June 28, 2026 (“fiscal 2027 period”) as compared to $46,998,000 for the thirteen weeks ended June 29, 2025 (“fiscal 2026 period”). The increase in total revenues was primarily driven by pricing actions within the Branded Product Program and modest increases in certain license royalty streams, which were partially offset by lower franchise fees and royalties and Company-owned restaurant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Foodservice sales from the Branded Product Program increased by approximately 20% to $35,039,000 during the fiscal 2027 period as compared to $29,075,000 for the fiscal 2026 period. During the fiscal 2027 period, the total volume of hot dogs sold in the Branded Product Program increased by approximately 8% as compared to the fiscal 2026 period. Our average selling price, which is partially correlated to the beef markets, increased by approximately 17% as compared to the fiscal 2026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Total Company-owned restaurant sales decreased by approximately 1% to $3,951,000 during the fiscal 2027 period as compared to $3,986,000 during the fiscal 2026 period. Restaurant sales were primarily impacted by a 1% decline in average check.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License royalties increased by approximately 10% to $13,587,000 in the fiscal 2027 period as compared to $12,381,000 in the fiscal 2026 period. Total royalties earned on sales of hot dogs from our license agreement with Smithfield Foods, Inc. at retail and foodservice, increased by approximately 10% to $12,617,000 in the fiscal 2027 period as compared to $11,464,000 in the fiscal 2026 period. The increase is due to a 3% increase in retail volume, as well as a 7% increase in net selling price. The royalties earned on the foodservice business decreased by $47,000 as compared to the fiscal 2026 period. Royalties earned from all other licensing agreements for the manufacture and sale of Nathan’s products increased by $53,000 during the fiscal 2027 period as compared to the fiscal 2026 period primarily due to higher royalties earned on sales of proprietary spices and beef sticks offset, in part, by lower royalties on franks-in-a-blanket, mozzarella sticks and other hors d’oeuvres.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Franchise fees and royalties were $1,074,000 in the fiscal 2027 period as compared to $1,129,000 in the fiscal 2026 period. Total royalties were $1,020,000 in the fiscal 2027 period as compared to $1,001,000 in the fiscal 2026 period. Royalties earned under the Branded Menu Program were $179,000 in the fiscal 2027 period as compared to $176,000 in the fiscal 2026 period. Royalties earned under the Branded Menu Program are not based upon a percentage of restaurant sales but are based upon product purchases. Virtual kitchen royalties were $48,000 in the fiscal 2027 period as compared to $15,000 in the fiscal 2026 period. Traditional franchise royalties were $793,000 in the fiscal 2027 period as compared to $810,000 in the fiscal 2026 period. Franchise restaurant sales decreased to $18,204,000 in the fiscal 2027 period as compared to $18,444,000 in the fiscal 2026 period principally due to lower sales at mall locations and casino locations, primarily in Las Vegas, Nevada, offset, in part, by higher sales at travel plazas and airports. Comparable domestic franchise sales (consisting of 60 Nathan’s franchised restaurants, excluding sales under the Branded Menu Program) were $14,623,000 in the fiscal 2027 period as compared to $14,417,000 in the fiscal 2026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June 28, 2026, 223 franchised locations, including domestic, international and Branded Menu Program units were operating as compared to 225 franchised locations, including domestic, international and Branded Menu Program units at June 29, 2025. Total franchise fee income was $54,000 in the fiscal 2027 period as compared to $128,000 in the fiscal 2026 period. Domestic franchise fee income was $27,000 in the fiscal 2027 period as compared to $23,000 in the fiscal 2026 period. International franchise fee income was $27,000 in the fiscal 2027 period as compared to $54,000 in the fiscal 2026 period. We recognized $51,000 in forfeited fees in the fiscal 2026 period. During the fiscal 2027 period, four franchise locations opened and two franchise locations closed. During the fiscal 2026 period, eight franchise locations opened and thirteen franchise locations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Advertising fund revenue, after eliminating Company contributions, was $411,000 in the fiscal 2027 period as compared to $427,000 in the fiscal 2026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 xml:space="preserve">Costs and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Overall, our cost of sales increased by approximately 24% to $35,205,000 in the fiscal 2027 period as compared to $28,423,000 in the fiscal 2026 period. Our gross profit (calculated as total Branded Products sales plus total Company-owned restaurant sales less cost of sales) was $3,785,000 during the fiscal 2027 period as compared to $4,638,000 during the fiscal 2026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sales in the Branded Product Program increased by approximately 26% to $33,087,000 in the fiscal 2027 period as compared to $26,233,000 in the fiscal 2026 period, primarily due to an 8% increase in the volume of hot dogs sold, as well as a 22% increase in the average cost per pound of our hot dogs. A shrinking supply of cattle due to drought conditions and high input costs, combined with strong industry demand and inflationary pressures have resulted in higher commodity prices, including beef and beef trimmings, contributing to the increase in the average cost per pound of our hot dogs. We did not make any purchase commitments of beef during the fiscal 2027 and 2026 periods. If the cost of beef and beef trimmings increases and we are unable to pass on these higher costs through price increases or otherwise reduce any increase in our costs through the use of purchase commitments, our margins will be adversely impacted. With respect to Company-owned restaurants, our cost of sales during the fiscal 2027 period was $2,118,000 or 54% of restaurant sales, as compared to $2,190,000 or 55% of restaurant sales during the fiscal 2026 period. Food and paper costs as a percentage of Company-owned restaurant sales were 24%, which was comparable to the prior year. Labor and related expenses as a percentage of Company-owned restaurant sales were 29%, down from 31% primarily as a result of tighter management and staffing stabilization.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Restaurant operating expenses were $1,216,000 in the fiscal 2027 period as compared to $1,179,000 in the fiscal 2026 period. The increase is due primarily to higher repairs and maintenance expense of $14,000 and higher utilities expense of $36,000 which were offset, in part, by lower credit card processing fees of $29,000. As a percentage of Company-owned restaurant sales, restaurant operating expenses were 30.8% in the fiscal 2027 period as compared to 29.6% in the fiscal 2026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Depreciation and amortization, which primarily consists of the depreciation of fixed assets, including leasehold improvements and equipment and the amortization of a definite-lived intangible asset, was $239,000 in the fiscal 2027 period as compared to $228,000 in the fiscal 2026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increased by approximately 9% to $4,323,000 in the fiscal 2027 period as compared to $3,950,000 in the fiscal 2026 period. The increase in general and administrative expenses was primarily attributable to higher professional fees of $288,000 due primarily to our pending acquisition with Buyer pursuant to the Merger Agreement. Refer to NOTE T – MERGER in the accompanying condensed consolidated financial statements above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Advertising fund expense, after eliminating Company contributions, was $411,000 in the fiscal 2027 period as compared to $427,000 in the fiscal 2026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Other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of $638,000 in the fiscal 2027 period represented interest expense of $620,000 on the Secured Overnight Financing Rate (“SOFR”) Term Loan borrowings and amortization of debt issuance costs of $18,000.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of $758,000 in the fiscal 2026 period represented interest expense of $739,000 on the SOFR Term Loan borrowings and amortization of debt issuance costs of $19,000.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reduction in interest expense of $120,000 is due primarily to lower outstanding long-term debt and a lower interest rate associated with our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and dividend income of $133,000 in the fiscal 2027 period represented amounts earned by the Company on its interest bearing money market accounts and money market funds as compared to $203,000 in the fiscal 2026 period. The decrease is due to lower levels of invested cash in the fiscal 2027 period as compared to the fiscal 2026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income, net was $21,000 in the fiscal 2026 period which primarily relates to sublease income from a franchised restaurant.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u w:val="single"/>
        </w:rPr>
        <w:t>Provision for Income Taxes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effective income tax rate for the fiscal 2027 period was 27.4% as compared to 27.2% in the fiscal 2026 period. The effective income tax rate for the fiscal 2027 period reflected income tax expense of $3,334,000 recorded on $12,163,000 of pre-tax income. The effective income tax rate for the fiscal 2026 period reflected income tax expense of $3,329,000 recorded on $12,257,000 of pre-tax income. The effective tax rates are higher than the U.S. Federal statutory rates primarily due to state and local taxes, as well as non-deductible executive compensation under the Internal Revenue Code Section 162(m). The effective income tax rate for the fiscal 2027 period included an unfavorable discrete tax adjustment of 0.6% for non-deductible transaction costs offset, in part, by a favorable discrete tax adjustment of 0.4% for stock compensation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American Rescue Plan Act of 2021 (“ARPA”), among other things, includes provisions to expand the IRC Section 162(m) disallowance for deduction of certain compensation paid by publicly held corporations. Effective for tax years starting after December 31, 2026 (March 29, 2027 for the Company), ARPA expands the limitations to cover the next five most highly compensated employees. We continue to evaluate the potential impact ARPA may have on our operations and condensed consolidated financial statements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4, 2025, the One Big Beautiful Bill Act (“OBBBA”) was enacted in the United States. The OBBBA includes significant provisions, such as the permanent extension of certain expiring provisions of the Tax Cuts and Jobs Act, and the restoration of favorable tax treatment for certain business provisions. The legislation has multiple effective dates, with certain provisions effective in 2025 and others to be implemented through 2027. The OBBBA did not have a material impact to our provision for income taxes for the fiscal 2027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amount of unrecognized tax benefits at June 28, 2026 was $375,000 all of which would impact the Company’s effective tax rate, if recognized. As of June 28, 2026, the Company had approximately $372,000 accrued for the payment of interest and penalties in conjunction with unrecognized tax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Nathan’s estimates that its unrecognized tax benefit excluding accrued interest and penalties could be further reduced by up to $50,000 during the fiscal year ending March 28, 2027 due primarily to the lapse of statutes of limitations which would favorably impact the Company’s effective tax rate, although no assurances can be given in this regard.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Off-Balance Sheet Arrangements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June 28, 2026 and June 29, 2025, Nathan’s did not have any open purchase commitments for hot dogs. Nathan’s may enter into purchase commitments in the future as favorable market conditions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Sources and uses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Cash and cash equivalents at June 28, 2026 aggregated $24,686,000, a $282,000 increase during the fiscal 2027 period as compared to cash of $24,404,000 at March 29, 2026. Net working capital increased to $34,764,000 at June 28, 2026 as compared to $28,218,000 at March 29,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sources of liquidity and capital resources are cash flows from operations and our cash and cash equivalents. Our primary cash requirements are to fund the June 2026 Regular Cash Dividend, to satisfy the debt service under our credit facility, capital expenditures, lease obligations, working capital and general corporate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summary cash flow information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6950" w:type="dxa"/>
        <w:jc w:val="left"/>
        <w:tblInd w:w="0" w:type="dxa"/>
        <w:tblLayout w:type="fixed"/>
        <w:tblCellMar>
          <w:top w:w="0" w:type="dxa"/>
          <w:left w:w="0" w:type="dxa"/>
          <w:bottom w:w="0" w:type="dxa"/>
          <w:right w:w="0" w:type="dxa"/>
        </w:tblCellMar>
      </w:tblPr>
      <w:tblGrid>
        <w:gridCol w:w="4235"/>
        <w:gridCol w:w="60"/>
        <w:gridCol w:w="285"/>
        <w:gridCol w:w="904"/>
        <w:gridCol w:w="121"/>
        <w:gridCol w:w="91"/>
        <w:gridCol w:w="278"/>
        <w:gridCol w:w="881"/>
        <w:gridCol w:w="95"/>
      </w:tblGrid>
      <w:tr>
        <w:trPr/>
        <w:tc>
          <w:tcPr>
            <w:tcW w:w="42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256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Thirteen weeks ended</w:t>
            </w:r>
          </w:p>
        </w:tc>
        <w:tc>
          <w:tcPr>
            <w:tcW w:w="9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2026</w:t>
            </w:r>
          </w:p>
        </w:tc>
        <w:tc>
          <w:tcPr>
            <w:tcW w:w="12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w:t>
            </w:r>
          </w:p>
        </w:tc>
        <w:tc>
          <w:tcPr>
            <w:tcW w:w="9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949</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w:t>
            </w:r>
          </w:p>
        </w:tc>
        <w:tc>
          <w:tcPr>
            <w:tcW w:w="12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1"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(600</w:t>
            </w:r>
          </w:p>
        </w:tc>
        <w:tc>
          <w:tcPr>
            <w:tcW w:w="12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1" w:type="dxa"/>
            <w:tcBorders/>
            <w:shd w:fill="CCEEFF" w:val="clear"/>
            <w:vAlign w:val="center"/>
          </w:tcPr>
          <w:p>
            <w:pPr>
              <w:pStyle w:val="TableContents"/>
              <w:bidi w:val="0"/>
              <w:spacing w:before="0" w:after="283"/>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282</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2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Operating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provided by operations of $949,000 is primarily attributable to net income of $8,829,000 in addition to other non-cash operating items of $565,000, offset by changes in other operating assets and liabilities of $8,445,000. Non-cash operating expenses consist principally of depreciation and amortization of $239,000, amortization of debt issuance costs of $18,000, share-based compensation expense of $280,000 and a provision for credit losses of $57,000. In the fiscal 2027 period, accounts and other receivables increased by $11,493,000 due primarily to higher Branded Product Program receivables of $3,819,000, higher franchise and license royalties receivable of $6,975,000 and higher receivables due to the Advertising Fund of $685,000</w:t>
      </w:r>
      <w:r>
        <w:rPr>
          <w:rFonts w:ascii="Times New Roman" w:hAnsi="Times New Roman"/>
          <w:b/>
          <w:caps w:val="false"/>
          <w:smallCaps w:val="false"/>
          <w:sz w:val="20"/>
        </w:rPr>
        <w:t>.</w:t>
      </w:r>
      <w:r>
        <w:rPr>
          <w:rFonts w:ascii="Times New Roman" w:hAnsi="Times New Roman"/>
          <w:caps w:val="false"/>
          <w:smallCaps w:val="false"/>
          <w:sz w:val="20"/>
        </w:rPr>
        <w:t xml:space="preserve"> Inventories increased by $508,000 due to timing and Branded Product Program inventory in transit. Prepaid expenses and other current assets decreased by $541,000 due primarily to a decrease in prepaid income taxes of $210,000 and a decrease in prepaid marketing and other expenses of $401,000 which were offset, in part, by an increase in prepaid real estate taxes of $92,000. Accounts payable, accrued expenses and other current liabilities increased by $3,100,000 due principally to an increase in accounts payable of $2,701,000 due to the timing of product purchases for our Branded Product Program and Company-owned restaurants. Additionally, there was an increase in accrued corporate taxes of $2,906,000 due to the timing of estimated tax payments. Offsetting these increases was a reduction in accrued payroll and other benefits of $1,848,000 resulting from the payment of fiscal year-end 2026 compensation as well as the recognition of $707,000 of deferred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investing activities of $67,000 in the fiscal 2027 period is primarily attributable to capital expenditures incurred for our Branded Product Program and our Coney Island restaurants.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fiscal 2027, we made $600,000 of mandatory principal repayments on our Term Loan borrowings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Subsequent to the fiscal 2027 period, we paid our next quarterly mandatory principal repayment on our Term Loan borrowings of $600,000 on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10, 2024 (the “Effective Date”), the Company entered into a five-year unsecured Credit Agreement among the Company, as borrower, direct and indirect subsidiaries of the Company, as guarantors, the lenders from time to time party thereto (the “Lenders”) and Citibank, N.A., as administrative agent, swing line lender, L/C issuer and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Credit Agreement provides for a term loan facility (“Term Loan”) of $60,000,000 and a revolving credit facility (“Revolving Loan”) of up to $10,000,000. The Credit Agreement also provides that the Company has the right from time to time during the term of the Credit Agreement to request the Lenders for incremental revolving loan borrowing increases of up to an additional $10,000,000 in the aggregate, subject to, among other items, the Lenders agreeing to lend any such additional amounts and compliance with terms specified in the Credit Agreement. The Credit Agreement matures on July 10,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borrowed $60,000,000 in Term Loan borrowings on the Effective Date to refinance and redeem its 2025 Notes. The Company will use any Revolving Loan borrowings under the Credit Agreement for working capital and general corporate purposes. As of June 28, 2026, there were no outstanding borrowings under the Revolving Loan. See Note P – LONG-TERM DEBT in the accompanying condensed consolidated financial statements for additional information on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2016, the Board authorized increases to the sixth stock repurchase plan for the purchase of up to 1,200,000 shares of its common stock on behalf of the Company. As of June 28, 2026, Nathan’s has repurchased 1,101,884 shares at a cost of $39,000,000 under the sixth stock repurchase plan. At June 28, 2026, there were 98,116 shares remaining to be repurchased pursuant to the sixth stock repurchase plan. The plan does not have a set expiration date. Purchases under the Company’s stock repurchase program may be made from time to time, depending on market conditions, in open market or privately negotiated transactions, at prices deemed appropriate by management. There is no set time limit on the repurchases. There were no stock repurchases during the fiscal 2027 period and the fiscal 2026 period. The terms of the Merger Agreement prohibit the Company from repurchasing any of its common stock subject to certain limited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Common Stock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discussed above, we had cash and cash equivalents at June 28, 2026 aggregating $24,686,000. Our Board routinely monitors and assesses its cash position and our current and potential capital requirements. The Company paid the June 2026 Regular Cash Dividend of $2,048,000 on June 30, 2026. After the payment of the June 2026 Regular Cash Dividend, the Company is no longer permitted to declare and pay any further dividends under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Purchase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June 28, 2026 and March 29, 2026, Nathan’s did not have any open purchase commitments to purchase hot dogs.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expect that in the future we will make investments in certain existing restaurants, support the growth of the Branded Product and Branded Menu Programs, and service the principal and interest obligations under the Credit Agreement, funding those investments from our operating cash flow. We may also incur capital and other expenditures or engage in investing activities in connection with opportunistic situations that may arise on a case-by-case basis as permitted pursuant to our Credit Agreement, and the Merger Agreement. While our Credit Agreement bears interest at a fluctuating interest rate based on the SOFR plus a spread adjustment, if the Company makes cash interest payments on the Term Loan borrowings at the interest rate effective at August 7, 2026, then for the remainder of the fiscal year ending March 28, 2027, we expect to make cash interest payments of approximately $1,802,000 on the Term Loan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from time to time seek to make voluntary prepayments of our Term Loan borrowings under our Credit Agreement. Such voluntary prepayments, if any, will depend on market conditions, our liquidity requirements, satisfactory compliance of covenants and conditions pursuant to our Credit Agreement, the Merger Agreement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believes that available cash and cash equivalents and cash generated from operations should provide sufficient capital to finance our operations, fund our operating lease obligations, capital expenditures and satisfy our debt service requirements for the next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June 28, 2026, our contractual obligations primarily consist of the Term Loan borrowings under our Credit Agreement and the mandatory debt principal repayments and the related interest payments, operating leases, and employment agreements with certain executive officers. These contractual obligations impact our short-term and long-term liquidity and capital resource needs. See NOTE P – LONG-TERM DEBT and NOTE Q - LEASES in the accompanying condensed consolidated financial statements included elsewhere in this Quarterly Report on Form 10-Q and as disclosed in our Form 10-K for the fiscal year ended March 29, 2026 as filed with the SEC on June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Inflationary Pressures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Inflationary pressures on labor and rising commodity prices, most notably for beef and beef trimmings, have impacted our consolidated results of operations during the fiscal 2027 period, and this trend may continue through the remainder of fiscal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average cost of hot dogs during the fiscal 2027 period was approximately 22% higher than during the fiscal 2026 period. Our average cost of hot dogs during the fiscal year ended March 29, 2026 was approximately 19% higher than during the fiscal year ended March 30, 2025. Inherent volatility experienced in certain commodity markets, such as those for beef and beef trimmings due to seasonal shifts, climate conditions, industry demand, inflationary pressures and other macroeconomic factors could have an adverse effect on our results of operations. This impact will depend on our ability to manage such volatility through price increases and product mix. We are unable to predict the future cost of our hot dogs and expect to experience price volatility for our beef products during the remainder of fiscal 2027. To the extent that beef prices increase as compared to earlier periods, it could impact our results of operations. In the past, we entered into purchase commitments for a portion of our hot dogs to reduce the impact of increasing market prices. We may attempt to enter into similar purchase arrangements for hot dogs and other products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experienced competitive pressure on labor rates as a result of the increase in the minimum hourly wage for fast food workers where our Company-owned restaurants are located. On January 1, 2026, the minimum wage increased from $16.50 to $17.00 in New York City, Long Island and Westchester. Further, beginning in 2027, the minimum wage across New York State will increase annually according to the Consumer Price Index. There has also been an increased demand for labor at all levels which has resulted in greater challenges retaining adequate staffing levels at our Company-owned restaurants; our franchised restaurants and Branded Menu Program locations; as well as for certain vendors in our supply chain that we depend on for our commodities. We remain in contact with our major suppliers and to date we have not experienced significant disruptions in our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these increases in the minimum wage and other changes in employment laws have had a significant financial impact on our financial results and the results of our franchisees that operate in New York State. Our business could be negatively impacted if the decrease in margins for our franchisees results in the potential loss of new franchisees or the closing of a significant number of franchised restaurants.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to continue experiencing volatility in oil and gas prices on our distribution costs for food products and utility costs in the Company-owned restaurants and volatile insurance costs resulting from rising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Continued increases in labor costs, commodity prices and other operating expenses, including health care, could adversely affect our operations. We attempt to manage inflationary pressure, and rising commodity costs, at least in part, through raising prices. Delays in implementing price increases, competitive pressures, consumer spending levels and other factors may limit our ability to offset these rising costs. Volatility in commodity prices, including beef and beef trimmings could have a significant adverse effect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business, financial condition, operating results and cash flows can be impacted by a number of factors, including but not limited to those set forth above in “Management’s Discussion and Analysis of Financial Condition and Results of Operations,” any one of which could cause our actual results to vary materially from recent results or from our anticipated future results. For a discussion identifying additional risk factors and important factors that could cause actual results to differ materially from those anticipated, also see the discussions in “Forward-Looking Statements” and “Notes to Condensed Consolidated Financial Statements” in this Form 10-Q and “Risk Factors” in our Form 10-K for our fiscal year ended March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3. Quantitative and Qualitative Disclosures About Market Risk.</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Cash and Cash Equivalents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historically invested our cash in money market accounts and money market funds which are affected by short term interest rates. As of June 28, 2026, Nathan’s cash and cash equivalents balance aggregated $24,686,000. Interest income on our cash and cash equivalents would increase or decrease by approximately $62,000 per annum for each 0.25% change in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Borrowings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10, 2024, we entered into a Credit Agreement and borrowed $60,000,000 in Term Loan borrowings to refinance and redeem the 2025 Notes. Borrowings under our Credit Agreement bear interest at a fluctuating interest rate based on SOFR or a base rate plus a spread adjustment. Accordingly, a rising interest rate environment would result in higher interest expense due on borrowings. A hypothetical 100 bps increase in the interest rate on our $47,800,000 of outstanding unsecured Term Loan borrowings at June 28, 2026 would lead to an increase of approximately $478,000 in cash interest costs over the next twelve months. We currently do not anticipate entering into interest rate swaps or other financial instruments to hedge our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Commodity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exposed to market price fluctuations in commodities, most notably beef and beef trimmings. Inflationary pressures on commodity prices have directly impacted our consolidated results of operations during the fiscal 2027 period, most notably within our Branded Product Program segment. This trend may continue for the remainder of fiscal 2027. Our average cost of hot dogs during the fiscal 2027 period was approximately 22% higher than during the fiscal 2026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unable to predict the future cost of our hot dogs and expect to experience price volatility for our beef products for the remainder of fiscal 2027. Factors that affect beef prices are outside of our control and include foreign and domestic supply and demand, inflation, weather and seasonality. To the extent that beef prices increase as compared to earlier periods, it could impact our results of operations. In the past, we have entered into purchase commitments for a portion of our hot dogs to reduce the impact of increasing market prices. We may attempt to enter into purchase arrangements for hot dogs and other products in the future. Additionally, we expect to continue experiencing volatility in oil and gas prices on our distribution costs for our food products and utility costs in the Company-owned restaurants and volatile insurance costs resulting from rising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not attempted to hedge against fluctuations in the prices of the commodities we purchase using future, forward, option or other instruments. As a result, we expect that the majority of our future commodity purchases will be subject to market changes in the prices of such commodities. We have attempted to enter into sales agreements with our Branded Product Program customers that are correlated to our cost of beef, thus reducing our market volatility, or have passed through permanent increases in our commodity prices to our Branded Product Program customers that are not on formula pricing, thereby reducing the impact of long-term increases on our financial results. A short-term increase or decrease of 10% in the cost of our food and paper products for the period ended June 28, 2026 would have increased or decreased our cost of sales by approximately $3,331,000.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Foreign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Foreign franchisees generally conduct business with us and make payments in United States dollars, reducing the risks inherent with changes in the values of foreign currencies. As a result, we have not purchased future contracts, options or other instruments to hedge against changes in values of foreign currencies and we do not believe fluctuations in the value of foreign currencies would have a material impact on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Evaluation of Disclosure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and Chief Financial Officer, conducted an evaluation of the effectiveness of the design and operation of our disclosure controls and procedures, as defined by Exchange Act Rule 13a-15(e) and Exchange Act Rule 15d-15(e) under the Securities Exchange Act of 1934, as amended (the “Exchange Act”). Based on that evaluation, the Chief Executive Officer, and Chief Financial Officer have concluded that, as of the end of the period covered by this report, our disclosure controls and procedures were effective to ensure that the information required to be disclosed by us in the reports that we file or submit under the Exchange Act is recorded, processed, summarized and reported within the time periods specified by the SEC’s rules and forms and that such information is accumulated and communicated to our management, including our principal executive and principal financial officers,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Changes in Internal Controls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controls over financial reporting that occurred during the quarter ended June 28,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Limitations on the Effectiveness of Controls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our Chief Executive Officer and Chief Financial Officer have concluded that such controls and procedures are effective at the reasonable assurance level.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r>
        <w:rPr>
          <w:rFonts w:ascii="Times New Roman" w:hAnsi="Times New Roman"/>
          <w:b/>
          <w:caps w:val="false"/>
          <w:smallCaps w:val="false"/>
          <w:sz w:val="20"/>
        </w:rPr>
        <w:t>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Item 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other information set forth in this report, you should carefully consider the risk factors discussed in Part I, “Item 1A. Risk Factors” in the Annual Report on Form 10-K for the fiscal year ended March 29, 2026, which could materially affect our business, financial condition or future results. The risks described in our Annual Report on Form 10-K are not the only risks facing Nathan's. Additional risks and uncertainties not currently known to us or that we currently deem to be immaterial also may materially adversely affect our business, financial condition and/or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2. Unregistered Sales of Equity Securities and Use of Proceeds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Item 4. Mine Safety Disclosures.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quarter ended June 28, 2026, none of our directors or officers (as defined in Rule 16a-1(f) of the Securities Exchange Act of 1934, as amended) adopted or terminated a “Rule 10b5-1 trading arrangement” or a “non Rule 10b5-1 trading arrangement” as such terms are defined under Item 408 of Regulation S-K.</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6.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ind w:left="360" w:right="0" w:hanging="0"/>
              <w:jc w:val="both"/>
              <w:rPr>
                <w:caps w:val="false"/>
                <w:smallCaps w:val="false"/>
              </w:rPr>
            </w:pPr>
            <w:r>
              <w:rPr>
                <w:caps w:val="false"/>
                <w:smallCaps w:val="false"/>
              </w:rPr>
              <w:t> </w:t>
            </w:r>
            <w:r>
              <w:rPr>
                <w:rFonts w:ascii="Times New Roman" w:hAnsi="Times New Roman"/>
                <w:caps w:val="false"/>
                <w:smallCaps w:val="false"/>
                <w:sz w:val="20"/>
              </w:rPr>
              <w:t>31.1</w:t>
            </w:r>
          </w:p>
        </w:tc>
        <w:tc>
          <w:tcPr>
            <w:tcW w:w="9720" w:type="dxa"/>
            <w:tcBorders/>
            <w:vAlign w:val="center"/>
          </w:tcPr>
          <w:p>
            <w:pPr>
              <w:pStyle w:val="TableContents"/>
              <w:bidi w:val="0"/>
              <w:spacing w:before="0" w:after="0"/>
              <w:ind w:left="0" w:right="0" w:hanging="0"/>
              <w:jc w:val="both"/>
              <w:rPr/>
            </w:pPr>
            <w:hyperlink w:anchor="ex_996543.htm">
              <w:r>
                <w:rPr>
                  <w:rStyle w:val="InternetLink"/>
                  <w:rFonts w:ascii="Times New Roman" w:hAnsi="Times New Roman"/>
                  <w:caps w:val="false"/>
                  <w:smallCaps w:val="false"/>
                  <w:sz w:val="20"/>
                </w:rPr>
                <w:t>*Certification of the Chief Executive Officer pursuant to Section 302 of the Sarbanes-Oxley Act of 2002.</w:t>
              </w:r>
            </w:hyperlink>
          </w:p>
        </w:tc>
      </w:tr>
      <w:tr>
        <w:trPr/>
        <w:tc>
          <w:tcPr>
            <w:tcW w:w="485" w:type="dxa"/>
            <w:tcBorders/>
            <w:vAlign w:val="center"/>
          </w:tcPr>
          <w:p>
            <w:pPr>
              <w:pStyle w:val="TableContents"/>
              <w:bidi w:val="0"/>
              <w:spacing w:before="0" w:after="283"/>
              <w:jc w:val="left"/>
              <w:rPr/>
            </w:pPr>
            <w:r>
              <w:rPr/>
              <w:t> </w:t>
            </w:r>
          </w:p>
        </w:tc>
        <w:tc>
          <w:tcPr>
            <w:tcW w:w="9720"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ind w:left="360" w:right="0" w:hanging="0"/>
              <w:jc w:val="both"/>
              <w:rPr>
                <w:caps w:val="false"/>
                <w:smallCaps w:val="false"/>
              </w:rPr>
            </w:pPr>
            <w:r>
              <w:rPr>
                <w:caps w:val="false"/>
                <w:smallCaps w:val="false"/>
              </w:rPr>
              <w:t> </w:t>
            </w:r>
            <w:r>
              <w:rPr>
                <w:rFonts w:ascii="Times New Roman" w:hAnsi="Times New Roman"/>
                <w:caps w:val="false"/>
                <w:smallCaps w:val="false"/>
                <w:sz w:val="20"/>
              </w:rPr>
              <w:t>31.2</w:t>
            </w:r>
          </w:p>
        </w:tc>
        <w:tc>
          <w:tcPr>
            <w:tcW w:w="9720" w:type="dxa"/>
            <w:tcBorders/>
            <w:vAlign w:val="center"/>
          </w:tcPr>
          <w:p>
            <w:pPr>
              <w:pStyle w:val="TableContents"/>
              <w:bidi w:val="0"/>
              <w:spacing w:before="0" w:after="0"/>
              <w:ind w:left="0" w:right="0" w:hanging="0"/>
              <w:jc w:val="both"/>
              <w:rPr/>
            </w:pPr>
            <w:hyperlink w:anchor="ex_996542.htm">
              <w:r>
                <w:rPr>
                  <w:rStyle w:val="InternetLink"/>
                  <w:rFonts w:ascii="Times New Roman" w:hAnsi="Times New Roman"/>
                  <w:caps w:val="false"/>
                  <w:smallCaps w:val="false"/>
                  <w:sz w:val="20"/>
                </w:rPr>
                <w:t>*Certification of the Chief Financial Officer pursuant to Section 302 of the Sarbanes-Oxley Act of 2002.</w:t>
              </w:r>
            </w:hyperlink>
          </w:p>
        </w:tc>
      </w:tr>
      <w:tr>
        <w:trPr/>
        <w:tc>
          <w:tcPr>
            <w:tcW w:w="485" w:type="dxa"/>
            <w:tcBorders/>
            <w:vAlign w:val="center"/>
          </w:tcPr>
          <w:p>
            <w:pPr>
              <w:pStyle w:val="TableContents"/>
              <w:bidi w:val="0"/>
              <w:spacing w:before="0" w:after="283"/>
              <w:jc w:val="left"/>
              <w:rPr/>
            </w:pPr>
            <w:r>
              <w:rPr/>
              <w:t> </w:t>
            </w:r>
          </w:p>
        </w:tc>
        <w:tc>
          <w:tcPr>
            <w:tcW w:w="9720"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ind w:left="360" w:right="0" w:hanging="0"/>
              <w:jc w:val="both"/>
              <w:rPr>
                <w:caps w:val="false"/>
                <w:smallCaps w:val="false"/>
              </w:rPr>
            </w:pPr>
            <w:r>
              <w:rPr>
                <w:caps w:val="false"/>
                <w:smallCaps w:val="false"/>
              </w:rPr>
              <w:t> </w:t>
            </w:r>
            <w:r>
              <w:rPr>
                <w:rFonts w:ascii="Times New Roman" w:hAnsi="Times New Roman"/>
                <w:caps w:val="false"/>
                <w:smallCaps w:val="false"/>
                <w:sz w:val="20"/>
              </w:rPr>
              <w:t>32.1 </w:t>
            </w:r>
          </w:p>
        </w:tc>
        <w:tc>
          <w:tcPr>
            <w:tcW w:w="9720" w:type="dxa"/>
            <w:tcBorders/>
            <w:vAlign w:val="center"/>
          </w:tcPr>
          <w:p>
            <w:pPr>
              <w:pStyle w:val="TableContents"/>
              <w:bidi w:val="0"/>
              <w:spacing w:before="0" w:after="0"/>
              <w:ind w:left="0" w:right="0" w:hanging="0"/>
              <w:jc w:val="both"/>
              <w:rPr/>
            </w:pPr>
            <w:hyperlink w:anchor="ex_996541.htm">
              <w:r>
                <w:rPr>
                  <w:rStyle w:val="InternetLink"/>
                  <w:rFonts w:ascii="Times New Roman" w:hAnsi="Times New Roman"/>
                  <w:caps w:val="false"/>
                  <w:smallCaps w:val="false"/>
                  <w:sz w:val="20"/>
                </w:rPr>
                <w:t>*Certification by Eric Gatoff, CEO, Nathan’s Famous, Inc., pursuant to 18 U.S.C. Section 1350, as adopted pursuant to Section 906 of the Sarbanes-Oxley Act of 2002.</w:t>
              </w:r>
            </w:hyperlink>
          </w:p>
        </w:tc>
      </w:tr>
      <w:tr>
        <w:trPr/>
        <w:tc>
          <w:tcPr>
            <w:tcW w:w="485" w:type="dxa"/>
            <w:tcBorders/>
            <w:vAlign w:val="center"/>
          </w:tcPr>
          <w:p>
            <w:pPr>
              <w:pStyle w:val="TableContents"/>
              <w:bidi w:val="0"/>
              <w:spacing w:before="0" w:after="283"/>
              <w:jc w:val="left"/>
              <w:rPr/>
            </w:pPr>
            <w:r>
              <w:rPr/>
              <w:t> </w:t>
            </w:r>
          </w:p>
        </w:tc>
        <w:tc>
          <w:tcPr>
            <w:tcW w:w="9720"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ind w:left="360" w:right="0" w:hanging="0"/>
              <w:jc w:val="both"/>
              <w:rPr>
                <w:caps w:val="false"/>
                <w:smallCaps w:val="false"/>
              </w:rPr>
            </w:pPr>
            <w:r>
              <w:rPr>
                <w:caps w:val="false"/>
                <w:smallCaps w:val="false"/>
              </w:rPr>
              <w:t> </w:t>
            </w:r>
            <w:r>
              <w:rPr>
                <w:rFonts w:ascii="Times New Roman" w:hAnsi="Times New Roman"/>
                <w:caps w:val="false"/>
                <w:smallCaps w:val="false"/>
                <w:sz w:val="20"/>
              </w:rPr>
              <w:t>32.2</w:t>
            </w:r>
          </w:p>
        </w:tc>
        <w:tc>
          <w:tcPr>
            <w:tcW w:w="9720" w:type="dxa"/>
            <w:tcBorders/>
            <w:vAlign w:val="center"/>
          </w:tcPr>
          <w:p>
            <w:pPr>
              <w:pStyle w:val="TableContents"/>
              <w:bidi w:val="0"/>
              <w:spacing w:before="0" w:after="0"/>
              <w:ind w:left="0" w:right="0" w:hanging="0"/>
              <w:jc w:val="both"/>
              <w:rPr/>
            </w:pPr>
            <w:hyperlink w:anchor="ex_996540.htm">
              <w:r>
                <w:rPr>
                  <w:rStyle w:val="InternetLink"/>
                  <w:rFonts w:ascii="Times New Roman" w:hAnsi="Times New Roman"/>
                  <w:caps w:val="false"/>
                  <w:smallCaps w:val="false"/>
                  <w:sz w:val="20"/>
                </w:rPr>
                <w:t>*Certification by Robert Steinberg, CFO, Nathan’s Famous, Inc., pursuant to 18 U.S.C. Section 1350, as adopted pursuant to Section 906 of the Sarbanes-Oxley Act of 2002.</w:t>
              </w:r>
            </w:hyperlink>
          </w:p>
        </w:tc>
      </w:tr>
      <w:tr>
        <w:trPr/>
        <w:tc>
          <w:tcPr>
            <w:tcW w:w="485" w:type="dxa"/>
            <w:tcBorders/>
            <w:vAlign w:val="center"/>
          </w:tcPr>
          <w:p>
            <w:pPr>
              <w:pStyle w:val="TableContents"/>
              <w:bidi w:val="0"/>
              <w:spacing w:before="0" w:after="283"/>
              <w:jc w:val="left"/>
              <w:rPr/>
            </w:pPr>
            <w:r>
              <w:rPr/>
              <w:t> </w:t>
            </w:r>
          </w:p>
        </w:tc>
        <w:tc>
          <w:tcPr>
            <w:tcW w:w="9720"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101.1</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materials from the Nathan’s Famous, Inc., Quarterly Report on Form 10-Q for the quarter ended June 28, 2026 formatted in Inline Extensible Business Reporting Language (iXBRL): (i) the Condensed Consolidated Balance Sheets, (ii) the Condensed Consolidated Statements of Earnings, (iii) the Condensed Consolidated Statements of Changes in Stockholders’ Deficit, (iv) the Condensed Consolidated Statements of Cash Flows and (v) related notes.</w:t>
            </w:r>
          </w:p>
        </w:tc>
      </w:tr>
      <w:tr>
        <w:trPr/>
        <w:tc>
          <w:tcPr>
            <w:tcW w:w="485" w:type="dxa"/>
            <w:tcBorders/>
            <w:vAlign w:val="center"/>
          </w:tcPr>
          <w:p>
            <w:pPr>
              <w:pStyle w:val="TableContents"/>
              <w:bidi w:val="0"/>
              <w:spacing w:before="0" w:after="283"/>
              <w:jc w:val="left"/>
              <w:rPr/>
            </w:pPr>
            <w:r>
              <w:rPr/>
              <w:t> </w:t>
            </w:r>
          </w:p>
        </w:tc>
        <w:tc>
          <w:tcPr>
            <w:tcW w:w="972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r>
      <w:tr>
        <w:trPr/>
        <w:tc>
          <w:tcPr>
            <w:tcW w:w="485" w:type="dxa"/>
            <w:tcBorders/>
            <w:vAlign w:val="center"/>
          </w:tcPr>
          <w:p>
            <w:pPr>
              <w:pStyle w:val="TableContents"/>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104</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6120" w:type="dxa"/>
        <w:jc w:val="left"/>
        <w:tblInd w:w="0" w:type="dxa"/>
        <w:tblLayout w:type="fixed"/>
        <w:tblCellMar>
          <w:top w:w="0" w:type="dxa"/>
          <w:left w:w="0" w:type="dxa"/>
          <w:bottom w:w="0" w:type="dxa"/>
          <w:right w:w="0" w:type="dxa"/>
        </w:tblCellMar>
      </w:tblPr>
      <w:tblGrid>
        <w:gridCol w:w="2060"/>
        <w:gridCol w:w="365"/>
        <w:gridCol w:w="3635"/>
        <w:gridCol w:w="60"/>
      </w:tblGrid>
      <w:tr>
        <w:trPr/>
        <w:tc>
          <w:tcPr>
            <w:tcW w:w="2060" w:type="dxa"/>
            <w:tcBorders/>
          </w:tcPr>
          <w:p>
            <w:pPr>
              <w:pStyle w:val="TableContents"/>
              <w:bidi w:val="0"/>
              <w:spacing w:before="0" w:after="0"/>
              <w:ind w:left="0" w:right="0" w:hanging="0"/>
              <w:jc w:val="left"/>
              <w:rPr/>
            </w:pPr>
            <w:r>
              <w:rPr/>
              <w:t> </w:t>
            </w:r>
          </w:p>
        </w:tc>
        <w:tc>
          <w:tcPr>
            <w:tcW w:w="4000"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NATHAN'S FAMOUS, INC.</w:t>
            </w:r>
          </w:p>
        </w:tc>
        <w:tc>
          <w:tcPr>
            <w:tcW w:w="60" w:type="dxa"/>
            <w:tcBorders/>
          </w:tcPr>
          <w:p>
            <w:pPr>
              <w:pStyle w:val="TableContents"/>
              <w:bidi w:val="0"/>
              <w:spacing w:before="0" w:after="0"/>
              <w:ind w:left="0" w:right="0" w:hanging="0"/>
              <w:jc w:val="left"/>
              <w:rPr/>
            </w:pPr>
            <w:r>
              <w:rPr/>
              <w:t> </w:t>
            </w:r>
          </w:p>
        </w:tc>
      </w:tr>
      <w:tr>
        <w:trPr/>
        <w:tc>
          <w:tcPr>
            <w:tcW w:w="2060"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3635"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2060"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63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Eric Gatoff</w:t>
            </w:r>
          </w:p>
        </w:tc>
        <w:tc>
          <w:tcPr>
            <w:tcW w:w="60" w:type="dxa"/>
            <w:tcBorders/>
          </w:tcPr>
          <w:p>
            <w:pPr>
              <w:pStyle w:val="TableContents"/>
              <w:bidi w:val="0"/>
              <w:spacing w:before="0" w:after="0"/>
              <w:ind w:left="0" w:right="0" w:hanging="0"/>
              <w:jc w:val="left"/>
              <w:rPr/>
            </w:pPr>
            <w:r>
              <w:rPr/>
              <w:t> </w:t>
            </w:r>
          </w:p>
        </w:tc>
      </w:tr>
      <w:tr>
        <w:trPr/>
        <w:tc>
          <w:tcPr>
            <w:tcW w:w="2060"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363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Eric Gatoff</w:t>
            </w:r>
          </w:p>
        </w:tc>
        <w:tc>
          <w:tcPr>
            <w:tcW w:w="60" w:type="dxa"/>
            <w:tcBorders/>
          </w:tcPr>
          <w:p>
            <w:pPr>
              <w:pStyle w:val="TableContents"/>
              <w:bidi w:val="0"/>
              <w:spacing w:before="0" w:after="0"/>
              <w:ind w:left="0" w:right="0" w:hanging="0"/>
              <w:jc w:val="left"/>
              <w:rPr/>
            </w:pPr>
            <w:r>
              <w:rPr/>
              <w:t> </w:t>
            </w:r>
          </w:p>
        </w:tc>
      </w:tr>
      <w:tr>
        <w:trPr/>
        <w:tc>
          <w:tcPr>
            <w:tcW w:w="2060"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3635" w:type="dxa"/>
            <w:tcBorders/>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tcPr>
          <w:p>
            <w:pPr>
              <w:pStyle w:val="TableContents"/>
              <w:bidi w:val="0"/>
              <w:spacing w:before="0" w:after="0"/>
              <w:ind w:left="0" w:right="0" w:hanging="0"/>
              <w:jc w:val="left"/>
              <w:rPr/>
            </w:pPr>
            <w:r>
              <w:rPr/>
              <w:t> </w:t>
            </w:r>
          </w:p>
        </w:tc>
      </w:tr>
      <w:tr>
        <w:trPr/>
        <w:tc>
          <w:tcPr>
            <w:tcW w:w="2060" w:type="dxa"/>
            <w:tcBorders/>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 </w:t>
            </w:r>
          </w:p>
        </w:tc>
        <w:tc>
          <w:tcPr>
            <w:tcW w:w="363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283"/>
              <w:jc w:val="left"/>
              <w:rPr/>
            </w:pPr>
            <w:r>
              <w:rPr/>
              <w:t>Date: August 7, 2026</w:t>
            </w:r>
          </w:p>
        </w:tc>
        <w:tc>
          <w:tcPr>
            <w:tcW w:w="365" w:type="dxa"/>
            <w:tcBorders/>
          </w:tcPr>
          <w:p>
            <w:pPr>
              <w:pStyle w:val="TableContents"/>
              <w:bidi w:val="0"/>
              <w:spacing w:before="0" w:after="283"/>
              <w:jc w:val="left"/>
              <w:rPr/>
            </w:pPr>
            <w:r>
              <w:rPr/>
              <w:t>By:</w:t>
            </w:r>
          </w:p>
        </w:tc>
        <w:tc>
          <w:tcPr>
            <w:tcW w:w="3635" w:type="dxa"/>
            <w:tcBorders>
              <w:bottom w:val="single" w:sz="2" w:space="0" w:color="000000"/>
            </w:tcBorders>
            <w:tcMar>
              <w:bottom w:w="28" w:type="dxa"/>
            </w:tcMar>
          </w:tcPr>
          <w:p>
            <w:pPr>
              <w:pStyle w:val="TableContents"/>
              <w:bidi w:val="0"/>
              <w:spacing w:before="0" w:after="283"/>
              <w:jc w:val="left"/>
              <w:rPr/>
            </w:pPr>
            <w:r>
              <w:rPr/>
              <w:t>/s/ Robert Steinberg</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 </w:t>
            </w:r>
          </w:p>
        </w:tc>
        <w:tc>
          <w:tcPr>
            <w:tcW w:w="3635" w:type="dxa"/>
            <w:tcBorders/>
          </w:tcPr>
          <w:p>
            <w:pPr>
              <w:pStyle w:val="TableContents"/>
              <w:bidi w:val="0"/>
              <w:spacing w:before="0" w:after="283"/>
              <w:jc w:val="left"/>
              <w:rPr/>
            </w:pPr>
            <w:r>
              <w:rPr/>
              <w:t>Robert Steinberg</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 </w:t>
            </w:r>
          </w:p>
        </w:tc>
        <w:tc>
          <w:tcPr>
            <w:tcW w:w="3635" w:type="dxa"/>
            <w:tcBorders/>
          </w:tcPr>
          <w:p>
            <w:pPr>
              <w:pStyle w:val="TableContents"/>
              <w:bidi w:val="0"/>
              <w:spacing w:before="0" w:after="283"/>
              <w:jc w:val="left"/>
              <w:rPr/>
            </w:pPr>
            <w:r>
              <w:rPr/>
              <w:t>Vice President – Finance</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 </w:t>
            </w:r>
          </w:p>
        </w:tc>
        <w:tc>
          <w:tcPr>
            <w:tcW w:w="3635"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and Chief Financial Officer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Financial and Accounting Officer)</w:t>
            </w:r>
          </w:p>
        </w:tc>
        <w:tc>
          <w:tcPr>
            <w:tcW w:w="60" w:type="dxa"/>
            <w:tcBorders/>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-34-</w:t>
      </w:r>
    </w:p>
    <w:p>
      <w:pPr>
        <w:pStyle w:val="TextBody"/>
        <w:bidi w:val="0"/>
        <w:spacing w:before="0" w:after="0"/>
        <w:ind w:left="0" w:right="0" w:hanging="0"/>
        <w:jc w:val="right"/>
        <w:rPr>
          <w:caps w:val="false"/>
          <w:smallCaps w:val="false"/>
        </w:rPr>
      </w:pPr>
      <w:bookmarkStart w:id="2" w:name="ex_996543.htm"/>
      <w:bookmarkStart w:id="3" w:name="ksex_996543"/>
      <w:bookmarkEnd w:id="2"/>
      <w:bookmarkEnd w:id="3"/>
      <w:r>
        <w:rPr>
          <w:caps w:val="false"/>
          <w:smallCaps w:val="false"/>
        </w:rPr>
        <w:t> </w:t>
      </w:r>
      <w:r>
        <w:br w:type="page"/>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31.1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I, Eric Gatoff, certify that:</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60"/>
        <w:gridCol w:w="170"/>
        <w:gridCol w:w="9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for the quarter ended June 28, 2026 of Nathan’s Famous,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26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26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26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26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538" w:type="dxa"/>
        <w:jc w:val="left"/>
        <w:tblInd w:w="0" w:type="dxa"/>
        <w:tblLayout w:type="fixed"/>
        <w:tblCellMar>
          <w:top w:w="0" w:type="dxa"/>
          <w:left w:w="0" w:type="dxa"/>
          <w:bottom w:w="0" w:type="dxa"/>
          <w:right w:w="0" w:type="dxa"/>
        </w:tblCellMar>
      </w:tblPr>
      <w:tblGrid>
        <w:gridCol w:w="3370"/>
        <w:gridCol w:w="2359"/>
        <w:gridCol w:w="809"/>
      </w:tblGrid>
      <w:tr>
        <w:trPr/>
        <w:tc>
          <w:tcPr>
            <w:tcW w:w="337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2026</w:t>
            </w:r>
          </w:p>
        </w:tc>
        <w:tc>
          <w:tcPr>
            <w:tcW w:w="2359"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Eric Gatoff</w:t>
            </w:r>
          </w:p>
        </w:tc>
        <w:tc>
          <w:tcPr>
            <w:tcW w:w="809" w:type="dxa"/>
            <w:tcBorders/>
          </w:tcPr>
          <w:p>
            <w:pPr>
              <w:pStyle w:val="TableContents"/>
              <w:bidi w:val="0"/>
              <w:spacing w:before="0" w:after="0"/>
              <w:ind w:left="0" w:right="0" w:hanging="0"/>
              <w:jc w:val="left"/>
              <w:rPr/>
            </w:pPr>
            <w:r>
              <w:rPr/>
              <w:t> </w:t>
            </w:r>
          </w:p>
        </w:tc>
      </w:tr>
      <w:tr>
        <w:trPr/>
        <w:tc>
          <w:tcPr>
            <w:tcW w:w="3370" w:type="dxa"/>
            <w:tcBorders/>
          </w:tcPr>
          <w:p>
            <w:pPr>
              <w:pStyle w:val="TableContents"/>
              <w:bidi w:val="0"/>
              <w:spacing w:before="0" w:after="0"/>
              <w:ind w:left="0" w:right="0" w:hanging="0"/>
              <w:jc w:val="left"/>
              <w:rPr/>
            </w:pPr>
            <w:r>
              <w:rPr/>
              <w:t> </w:t>
            </w:r>
          </w:p>
        </w:tc>
        <w:tc>
          <w:tcPr>
            <w:tcW w:w="235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Eric Gatoff</w:t>
            </w:r>
          </w:p>
        </w:tc>
        <w:tc>
          <w:tcPr>
            <w:tcW w:w="809" w:type="dxa"/>
            <w:tcBorders/>
          </w:tcPr>
          <w:p>
            <w:pPr>
              <w:pStyle w:val="TableContents"/>
              <w:bidi w:val="0"/>
              <w:spacing w:before="0" w:after="0"/>
              <w:ind w:left="0" w:right="0" w:hanging="0"/>
              <w:jc w:val="left"/>
              <w:rPr/>
            </w:pPr>
            <w:r>
              <w:rPr/>
              <w:t> </w:t>
            </w:r>
          </w:p>
        </w:tc>
      </w:tr>
      <w:tr>
        <w:trPr/>
        <w:tc>
          <w:tcPr>
            <w:tcW w:w="3370" w:type="dxa"/>
            <w:tcBorders/>
          </w:tcPr>
          <w:p>
            <w:pPr>
              <w:pStyle w:val="TableContents"/>
              <w:bidi w:val="0"/>
              <w:spacing w:before="0" w:after="0"/>
              <w:ind w:left="0" w:right="0" w:hanging="0"/>
              <w:jc w:val="left"/>
              <w:rPr/>
            </w:pPr>
            <w:r>
              <w:rPr/>
              <w:t> </w:t>
            </w:r>
          </w:p>
        </w:tc>
        <w:tc>
          <w:tcPr>
            <w:tcW w:w="235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c>
          <w:tcPr>
            <w:tcW w:w="809" w:type="dxa"/>
            <w:tcBorders/>
          </w:tcPr>
          <w:p>
            <w:pPr>
              <w:pStyle w:val="TableContents"/>
              <w:bidi w:val="0"/>
              <w:spacing w:before="0" w:after="0"/>
              <w:ind w:left="0" w:right="0" w:hanging="0"/>
              <w:jc w:val="left"/>
              <w:rPr/>
            </w:pPr>
            <w:r>
              <w:rPr/>
              <w:t> </w:t>
            </w:r>
          </w:p>
        </w:tc>
      </w:tr>
    </w:tbl>
    <w:p>
      <w:pPr>
        <w:pStyle w:val="TextBody"/>
        <w:bidi w:val="0"/>
        <w:spacing w:before="0" w:after="0"/>
        <w:ind w:left="3160" w:right="0" w:hanging="316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3160" w:right="0" w:hanging="3160"/>
        <w:jc w:val="both"/>
        <w:rPr>
          <w:caps w:val="false"/>
          <w:smallCaps w:val="false"/>
        </w:rPr>
      </w:pPr>
      <w:bookmarkStart w:id="4" w:name="ex_996542.htm"/>
      <w:bookmarkStart w:id="5" w:name="ksex_996542"/>
      <w:bookmarkEnd w:id="4"/>
      <w:bookmarkEnd w:id="5"/>
      <w:r>
        <w:rPr>
          <w:caps w:val="false"/>
          <w:smallCaps w:val="false"/>
        </w:rPr>
        <w:t> </w:t>
      </w:r>
      <w:r>
        <w:br w:type="page"/>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31.2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I, Robert Steinberg, certify that:</w:t>
      </w:r>
    </w:p>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60"/>
        <w:gridCol w:w="170"/>
        <w:gridCol w:w="9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for the quarter ended June 28, 2026 of Nathan’s Famous,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146" w:type="dxa"/>
        <w:jc w:val="left"/>
        <w:tblInd w:w="0" w:type="dxa"/>
        <w:tblLayout w:type="fixed"/>
        <w:tblCellMar>
          <w:top w:w="0" w:type="dxa"/>
          <w:left w:w="0" w:type="dxa"/>
          <w:bottom w:w="0" w:type="dxa"/>
          <w:right w:w="0" w:type="dxa"/>
        </w:tblCellMar>
      </w:tblPr>
      <w:tblGrid>
        <w:gridCol w:w="5230"/>
        <w:gridCol w:w="3661"/>
        <w:gridCol w:w="1255"/>
      </w:tblGrid>
      <w:tr>
        <w:trPr/>
        <w:tc>
          <w:tcPr>
            <w:tcW w:w="523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2026</w:t>
            </w:r>
          </w:p>
        </w:tc>
        <w:tc>
          <w:tcPr>
            <w:tcW w:w="3661"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Robert Steinberg</w:t>
            </w:r>
          </w:p>
        </w:tc>
        <w:tc>
          <w:tcPr>
            <w:tcW w:w="1255" w:type="dxa"/>
            <w:tcBorders/>
          </w:tcPr>
          <w:p>
            <w:pPr>
              <w:pStyle w:val="TableContents"/>
              <w:bidi w:val="0"/>
              <w:spacing w:before="0" w:after="0"/>
              <w:ind w:left="0" w:right="0" w:hanging="0"/>
              <w:jc w:val="left"/>
              <w:rPr/>
            </w:pPr>
            <w:r>
              <w:rPr/>
              <w:t> </w:t>
            </w:r>
          </w:p>
        </w:tc>
      </w:tr>
      <w:tr>
        <w:trPr/>
        <w:tc>
          <w:tcPr>
            <w:tcW w:w="5230" w:type="dxa"/>
            <w:tcBorders/>
          </w:tcPr>
          <w:p>
            <w:pPr>
              <w:pStyle w:val="TableContents"/>
              <w:bidi w:val="0"/>
              <w:spacing w:before="0" w:after="0"/>
              <w:ind w:left="0" w:right="0" w:hanging="0"/>
              <w:jc w:val="left"/>
              <w:rPr/>
            </w:pPr>
            <w:r>
              <w:rPr/>
              <w:t> </w:t>
            </w:r>
          </w:p>
        </w:tc>
        <w:tc>
          <w:tcPr>
            <w:tcW w:w="366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Steinberg</w:t>
            </w:r>
          </w:p>
        </w:tc>
        <w:tc>
          <w:tcPr>
            <w:tcW w:w="1255" w:type="dxa"/>
            <w:tcBorders/>
          </w:tcPr>
          <w:p>
            <w:pPr>
              <w:pStyle w:val="TableContents"/>
              <w:bidi w:val="0"/>
              <w:spacing w:before="0" w:after="0"/>
              <w:ind w:left="0" w:right="0" w:hanging="0"/>
              <w:jc w:val="left"/>
              <w:rPr/>
            </w:pPr>
            <w:r>
              <w:rPr/>
              <w:t> </w:t>
            </w:r>
          </w:p>
        </w:tc>
      </w:tr>
      <w:tr>
        <w:trPr/>
        <w:tc>
          <w:tcPr>
            <w:tcW w:w="5230" w:type="dxa"/>
            <w:tcBorders/>
          </w:tcPr>
          <w:p>
            <w:pPr>
              <w:pStyle w:val="TableContents"/>
              <w:bidi w:val="0"/>
              <w:spacing w:before="0" w:after="0"/>
              <w:ind w:left="0" w:right="0" w:hanging="0"/>
              <w:jc w:val="left"/>
              <w:rPr/>
            </w:pPr>
            <w:r>
              <w:rPr/>
              <w:t> </w:t>
            </w:r>
          </w:p>
        </w:tc>
        <w:tc>
          <w:tcPr>
            <w:tcW w:w="3661" w:type="dxa"/>
            <w:tcBorders/>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Vice President – Finance</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and Chief Financial Officer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c>
          <w:tcPr>
            <w:tcW w:w="1255" w:type="dxa"/>
            <w:tcBorders/>
          </w:tcPr>
          <w:p>
            <w:pPr>
              <w:pStyle w:val="TableContents"/>
              <w:bidi w:val="0"/>
              <w:spacing w:before="0" w:after="0"/>
              <w:ind w:left="0" w:right="0" w:hanging="0"/>
              <w:jc w:val="left"/>
              <w:rPr/>
            </w:pPr>
            <w:r>
              <w:rPr/>
              <w:t> </w:t>
            </w:r>
          </w:p>
        </w:tc>
      </w:tr>
    </w:tbl>
    <w:p>
      <w:pPr>
        <w:pStyle w:val="TextBody"/>
        <w:bidi w:val="0"/>
        <w:spacing w:before="0" w:after="0"/>
        <w:ind w:left="3160" w:right="0" w:hanging="316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3160" w:right="0" w:hanging="3160"/>
        <w:jc w:val="both"/>
        <w:rPr>
          <w:caps w:val="false"/>
          <w:smallCaps w:val="false"/>
        </w:rPr>
      </w:pPr>
      <w:bookmarkStart w:id="6" w:name="ex_996541.htm"/>
      <w:bookmarkStart w:id="7" w:name="ksex_996541"/>
      <w:bookmarkEnd w:id="6"/>
      <w:bookmarkEnd w:id="7"/>
      <w:r>
        <w:rPr>
          <w:caps w:val="false"/>
          <w:smallCaps w:val="false"/>
        </w:rPr>
        <w:t> </w:t>
      </w:r>
      <w:r>
        <w:br w:type="page"/>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PURSUANT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ADOPTED PURSUANT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Eric Gatoff, Chief Executive Officer of Nathan’s Famous, Inc.,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The quarterly report on Form 10-Q of Nathan’s Famous, Inc. for the period ended June 28, 2026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such report fairly presents, in all material respects, the financial condition and results of operations of Nathan’s Famous,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3423"/>
        <w:gridCol w:w="2396"/>
        <w:gridCol w:w="821"/>
      </w:tblGrid>
      <w:tr>
        <w:trPr/>
        <w:tc>
          <w:tcPr>
            <w:tcW w:w="3423" w:type="dxa"/>
            <w:tcBorders/>
          </w:tcPr>
          <w:p>
            <w:pPr>
              <w:pStyle w:val="TableContents"/>
              <w:bidi w:val="0"/>
              <w:spacing w:before="0" w:after="0"/>
              <w:ind w:left="0" w:right="0" w:hanging="0"/>
              <w:jc w:val="left"/>
              <w:rPr/>
            </w:pPr>
            <w:r>
              <w:rPr/>
              <w:t> </w:t>
            </w:r>
          </w:p>
        </w:tc>
        <w:tc>
          <w:tcPr>
            <w:tcW w:w="2396"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Eric Gatoff</w:t>
            </w:r>
          </w:p>
        </w:tc>
        <w:tc>
          <w:tcPr>
            <w:tcW w:w="821" w:type="dxa"/>
            <w:tcBorders/>
          </w:tcPr>
          <w:p>
            <w:pPr>
              <w:pStyle w:val="TableContents"/>
              <w:bidi w:val="0"/>
              <w:spacing w:before="0" w:after="0"/>
              <w:ind w:left="0" w:right="0" w:hanging="0"/>
              <w:jc w:val="left"/>
              <w:rPr/>
            </w:pPr>
            <w:r>
              <w:rPr/>
              <w:t> </w:t>
            </w:r>
          </w:p>
        </w:tc>
      </w:tr>
      <w:tr>
        <w:trPr/>
        <w:tc>
          <w:tcPr>
            <w:tcW w:w="3423" w:type="dxa"/>
            <w:tcBorders/>
          </w:tcPr>
          <w:p>
            <w:pPr>
              <w:pStyle w:val="TableContents"/>
              <w:bidi w:val="0"/>
              <w:spacing w:before="0" w:after="0"/>
              <w:ind w:left="0" w:right="0" w:hanging="0"/>
              <w:jc w:val="left"/>
              <w:rPr/>
            </w:pPr>
            <w:r>
              <w:rPr/>
              <w:t> </w:t>
            </w:r>
          </w:p>
        </w:tc>
        <w:tc>
          <w:tcPr>
            <w:tcW w:w="239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Eric Gatoff</w:t>
            </w:r>
          </w:p>
        </w:tc>
        <w:tc>
          <w:tcPr>
            <w:tcW w:w="821" w:type="dxa"/>
            <w:tcBorders/>
          </w:tcPr>
          <w:p>
            <w:pPr>
              <w:pStyle w:val="TableContents"/>
              <w:bidi w:val="0"/>
              <w:spacing w:before="0" w:after="0"/>
              <w:ind w:left="0" w:right="0" w:hanging="0"/>
              <w:jc w:val="left"/>
              <w:rPr/>
            </w:pPr>
            <w:r>
              <w:rPr/>
              <w:t> </w:t>
            </w:r>
          </w:p>
        </w:tc>
      </w:tr>
      <w:tr>
        <w:trPr/>
        <w:tc>
          <w:tcPr>
            <w:tcW w:w="3423" w:type="dxa"/>
            <w:tcBorders/>
          </w:tcPr>
          <w:p>
            <w:pPr>
              <w:pStyle w:val="TableContents"/>
              <w:bidi w:val="0"/>
              <w:spacing w:before="0" w:after="0"/>
              <w:ind w:left="0" w:right="0" w:hanging="0"/>
              <w:jc w:val="left"/>
              <w:rPr/>
            </w:pPr>
            <w:r>
              <w:rPr/>
              <w:t> </w:t>
            </w:r>
          </w:p>
        </w:tc>
        <w:tc>
          <w:tcPr>
            <w:tcW w:w="2396" w:type="dxa"/>
            <w:tcBorders/>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Executive Officer)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August 7, 2026</w:t>
            </w:r>
          </w:p>
        </w:tc>
        <w:tc>
          <w:tcPr>
            <w:tcW w:w="821"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Nathan’s Famous, Inc. and will be retained by Nathan’s Famous, Inc.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8" w:name="ex_996540.htm"/>
      <w:bookmarkStart w:id="9" w:name="ksex_996540"/>
      <w:bookmarkEnd w:id="8"/>
      <w:bookmarkEnd w:id="9"/>
      <w:r>
        <w:rPr>
          <w:caps w:val="false"/>
          <w:smallCaps w:val="false"/>
        </w:rPr>
        <w:t> </w:t>
      </w:r>
      <w:r>
        <w:br w:type="page"/>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PURSUANT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ADOPTED PURSUANT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Robert Steinberg, Chief Financial Officer of Nathan’s Famous, Inc.,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The quarterly report on Form 10-Q of Nathan’s Famous, Inc. for the period ended June 28, 2026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such report fairly presents, in all material respects, the financial condition and results of operations of Nathan’s Famous, Inc.</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65"/>
        <w:gridCol w:w="305"/>
        <w:gridCol w:w="3617"/>
        <w:gridCol w:w="1218"/>
      </w:tblGrid>
      <w:tr>
        <w:trPr/>
        <w:tc>
          <w:tcPr>
            <w:tcW w:w="5065" w:type="dxa"/>
            <w:tcBorders/>
          </w:tcPr>
          <w:p>
            <w:pPr>
              <w:pStyle w:val="TableContents"/>
              <w:bidi w:val="0"/>
              <w:spacing w:before="0" w:after="0"/>
              <w:ind w:left="0" w:right="0" w:hanging="0"/>
              <w:jc w:val="left"/>
              <w:rPr/>
            </w:pPr>
            <w:r>
              <w:rPr/>
              <w:t> </w:t>
            </w:r>
          </w:p>
        </w:tc>
        <w:tc>
          <w:tcPr>
            <w:tcW w:w="305" w:type="dxa"/>
            <w:tcBorders/>
          </w:tcPr>
          <w:p>
            <w:pPr>
              <w:pStyle w:val="TableContents"/>
              <w:bidi w:val="0"/>
              <w:spacing w:before="0" w:after="0"/>
              <w:ind w:left="0" w:right="0" w:hanging="0"/>
              <w:jc w:val="left"/>
              <w:rPr/>
            </w:pPr>
            <w:r>
              <w:rPr/>
              <w:t> </w:t>
            </w:r>
          </w:p>
        </w:tc>
        <w:tc>
          <w:tcPr>
            <w:tcW w:w="3617"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Robert Steinberg</w:t>
            </w:r>
          </w:p>
        </w:tc>
        <w:tc>
          <w:tcPr>
            <w:tcW w:w="1218" w:type="dxa"/>
            <w:tcBorders/>
          </w:tcPr>
          <w:p>
            <w:pPr>
              <w:pStyle w:val="TableContents"/>
              <w:bidi w:val="0"/>
              <w:spacing w:before="0" w:after="0"/>
              <w:ind w:left="0" w:right="0" w:hanging="0"/>
              <w:jc w:val="left"/>
              <w:rPr/>
            </w:pPr>
            <w:r>
              <w:rPr/>
              <w:t> </w:t>
            </w:r>
          </w:p>
        </w:tc>
      </w:tr>
      <w:tr>
        <w:trPr/>
        <w:tc>
          <w:tcPr>
            <w:tcW w:w="5065" w:type="dxa"/>
            <w:tcBorders/>
          </w:tcPr>
          <w:p>
            <w:pPr>
              <w:pStyle w:val="TableContents"/>
              <w:bidi w:val="0"/>
              <w:spacing w:before="0" w:after="0"/>
              <w:ind w:left="0" w:right="0" w:hanging="0"/>
              <w:jc w:val="left"/>
              <w:rPr/>
            </w:pPr>
            <w:r>
              <w:rPr/>
              <w:t> </w:t>
            </w:r>
          </w:p>
        </w:tc>
        <w:tc>
          <w:tcPr>
            <w:tcW w:w="305" w:type="dxa"/>
            <w:tcBorders/>
          </w:tcPr>
          <w:p>
            <w:pPr>
              <w:pStyle w:val="TableContents"/>
              <w:bidi w:val="0"/>
              <w:spacing w:before="0" w:after="0"/>
              <w:ind w:left="0" w:right="0" w:hanging="0"/>
              <w:jc w:val="left"/>
              <w:rPr/>
            </w:pPr>
            <w:r>
              <w:rPr/>
              <w:t> </w:t>
            </w:r>
          </w:p>
        </w:tc>
        <w:tc>
          <w:tcPr>
            <w:tcW w:w="361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Steinberg</w:t>
            </w:r>
          </w:p>
        </w:tc>
        <w:tc>
          <w:tcPr>
            <w:tcW w:w="1218" w:type="dxa"/>
            <w:tcBorders/>
          </w:tcPr>
          <w:p>
            <w:pPr>
              <w:pStyle w:val="TableContents"/>
              <w:bidi w:val="0"/>
              <w:spacing w:before="0" w:after="0"/>
              <w:ind w:left="0" w:right="0" w:hanging="0"/>
              <w:jc w:val="left"/>
              <w:rPr/>
            </w:pPr>
            <w:r>
              <w:rPr/>
              <w:t> </w:t>
            </w:r>
          </w:p>
        </w:tc>
      </w:tr>
      <w:tr>
        <w:trPr/>
        <w:tc>
          <w:tcPr>
            <w:tcW w:w="5065" w:type="dxa"/>
            <w:tcBorders/>
          </w:tcPr>
          <w:p>
            <w:pPr>
              <w:pStyle w:val="TableContents"/>
              <w:bidi w:val="0"/>
              <w:spacing w:before="0" w:after="0"/>
              <w:ind w:left="0" w:right="0" w:hanging="0"/>
              <w:jc w:val="left"/>
              <w:rPr/>
            </w:pPr>
            <w:r>
              <w:rPr/>
              <w:t> </w:t>
            </w:r>
          </w:p>
        </w:tc>
        <w:tc>
          <w:tcPr>
            <w:tcW w:w="305" w:type="dxa"/>
            <w:tcBorders/>
          </w:tcPr>
          <w:p>
            <w:pPr>
              <w:pStyle w:val="TableContents"/>
              <w:bidi w:val="0"/>
              <w:spacing w:before="0" w:after="0"/>
              <w:ind w:left="0" w:right="0" w:hanging="0"/>
              <w:jc w:val="left"/>
              <w:rPr/>
            </w:pPr>
            <w:r>
              <w:rPr/>
              <w:t> </w:t>
            </w:r>
          </w:p>
        </w:tc>
        <w:tc>
          <w:tcPr>
            <w:tcW w:w="3617" w:type="dxa"/>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 Finance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August 7, 2026</w:t>
            </w:r>
          </w:p>
        </w:tc>
        <w:tc>
          <w:tcPr>
            <w:tcW w:w="1218"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Nathan’s Famous, Inc. and will be retained by Nathan’s Famous, Inc.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18597</Words>
  <Characters>101221</Characters>
  <CharactersWithSpaces>121934</CharactersWithSpaces>
  <Paragraphs>5330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