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20, 2026</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9"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8"/>
              </w:rPr>
              <w:t>Delaware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1-35962</w:t>
            </w:r>
          </w:p>
        </w:tc>
        <w:tc>
          <w:tcPr>
            <w:tcW w:w="4480" w:type="dxa"/>
            <w:vAlign w:val="bottom"/>
            <w:tcBorders>
              <w:bottom w:val="single" w:sz="8" w:color="auto"/>
            </w:tcBorders>
            <w:gridSpan w:val="3"/>
          </w:tcPr>
          <w:p>
            <w:pPr>
              <w:jc w:val="right"/>
              <w:ind w:right="1390"/>
              <w:spacing w:after="0"/>
              <w:rPr>
                <w:sz w:val="20"/>
                <w:szCs w:val="20"/>
                <w:color w:val="auto"/>
              </w:rPr>
            </w:pPr>
            <w:r>
              <w:rPr>
                <w:rFonts w:ascii="Times New Roman" w:cs="Times New Roman" w:eastAsia="Times New Roman" w:hAnsi="Times New Roman"/>
                <w:sz w:val="18"/>
                <w:szCs w:val="18"/>
                <w:color w:val="auto"/>
              </w:rPr>
              <w:t>11-3166443</w:t>
            </w:r>
          </w:p>
        </w:tc>
      </w:tr>
      <w:tr>
        <w:trPr>
          <w:trHeight w:val="191"/>
        </w:trPr>
        <w:tc>
          <w:tcPr>
            <w:tcW w:w="4520" w:type="dxa"/>
            <w:vAlign w:val="bottom"/>
          </w:tcPr>
          <w:p>
            <w:pPr>
              <w:jc w:val="center"/>
              <w:ind w:right="59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60" w:type="dxa"/>
            <w:vAlign w:val="bottom"/>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of Incorporation)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 Number)</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9"/>
        </w:trPr>
        <w:tc>
          <w:tcPr>
            <w:tcW w:w="6760" w:type="dxa"/>
            <w:vAlign w:val="bottom"/>
            <w:tcBorders>
              <w:bottom w:val="single" w:sz="8" w:color="auto"/>
            </w:tcBorders>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One Jericho Plaza, Jericho, New York</w:t>
            </w:r>
          </w:p>
        </w:tc>
        <w:tc>
          <w:tcPr>
            <w:tcW w:w="4480" w:type="dxa"/>
            <w:vAlign w:val="bottom"/>
            <w:tcBorders>
              <w:bottom w:val="single" w:sz="8" w:color="auto"/>
            </w:tcBorders>
            <w:gridSpan w:val="3"/>
          </w:tcPr>
          <w:p>
            <w:pPr>
              <w:jc w:val="right"/>
              <w:ind w:right="1590"/>
              <w:spacing w:after="0"/>
              <w:rPr>
                <w:sz w:val="20"/>
                <w:szCs w:val="20"/>
                <w:color w:val="auto"/>
              </w:rPr>
            </w:pPr>
            <w:r>
              <w:rPr>
                <w:rFonts w:ascii="Times New Roman" w:cs="Times New Roman" w:eastAsia="Times New Roman" w:hAnsi="Times New Roman"/>
                <w:sz w:val="18"/>
                <w:szCs w:val="18"/>
                <w:color w:val="auto"/>
              </w:rPr>
              <w:t>11753</w:t>
            </w:r>
          </w:p>
        </w:tc>
      </w:tr>
      <w:tr>
        <w:trPr>
          <w:trHeight w:val="228"/>
        </w:trPr>
        <w:tc>
          <w:tcPr>
            <w:tcW w:w="676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(516) 338-8500</w:t>
            </w:r>
          </w:p>
        </w:tc>
      </w:tr>
      <w:tr>
        <w:trPr>
          <w:trHeight w:val="452"/>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r>
      <w:tr>
        <w:trPr>
          <w:trHeight w:val="41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16"/>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8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NATH</w:t>
            </w:r>
          </w:p>
        </w:tc>
        <w:tc>
          <w:tcPr>
            <w:tcW w:w="280" w:type="dxa"/>
            <w:vAlign w:val="bottom"/>
            <w:tcBorders>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2"/>
          </w:tcPr>
          <w:p>
            <w:pPr>
              <w:jc w:val="center"/>
              <w:ind w:right="21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Nathan’s Famous, Inc., a Delaware corporation (the “Company”), announced that it had entered into a definitive agreement, as more fully described below, to be acquired by Smithfield Foods, Inc, a Virginia corporation (“Buyer”).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with Buyer and Boardwalk Merger Sub Inc., a Delaware corporation and wholly owned subsidiary of Buyer (“Merger Sub”).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“Company Board”) has (i) determined that the Merger Agreement and the transactions contemplated by the Merger Agreement, including the Merger, are fair, advisable and in the best interests of the Company and its stockholders, (ii) approved, adopted and ratified the Merger Agreement, the transactions contemplated by the Merger Agreement, and the performance by the Company of its obligations in connection with the Merger Agreement and the transactions contemplated by the Merger Agreement, (iii) resolved that the Merger Agreement be submitted to the stockholders of the Company for their vote and approval at the Company Stockholders’ Meeting (as defined below) and (iv) resolved to recommend to the stockholders of the Company that they approve the Merger and approve and adopt the Merger Agreement at the Company Stockholders’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Consideration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Warranties and Covenants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Merger Agreement contains representations, warranties and covenants by the parties customary for a transaction of this nature. Among other things, during the period between the execution of the Merger Agreement and the earlier of the consummation of the Merger or termination of the Merger Agreement, the Company has agreed to conduct its business in the ordinary course consistent with past practice and has agreed to certain other operating covenants, as set forth more fully in the Merger Agreement. Notwithstanding the foregoing, the Company will be permitted to declare and pay up to two regular quarterly cash dividends, each in the amount of $0.50 per Company Share.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 (iii) 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reasonably practicable after the execution of the Merger Agreement (and in any event within forty-five (45) days after the date of the Merger Agreement), the Company shall prepare and file with the Securities and Exchange Commission (the “SEC”) a proxy statement (as amended or supplemented from time to time, the “Proxy Statement”), in preliminary form, relating to the Stockholders’ Meeting (as defined below). The Company shall hold a meeting for the purpose of obtaining approval of the stockholders of the Company (the “Stockholders’ Meeting”) as promptly as reasonably practicable, and in no event more than thirty (30) days following the date on which the definitive Proxy Statement is mailed to stockholders of the Company, which mailing shall occur within ten (10) business days after the later of the date (i) on which the Company learns the SEC staff has no further comments on the Proxy Statement or (ii) (A) the applicable waiting period under any applicable Antitrust Law, including the HSR Act has expired or has been terminated and (B) CFIUS Clearance (as defined in the Merger Agreement) has been obtained.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Merger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Hart-Scott-Rodino Antitrust Improvements Act of 1976 have terminated or expired and (d) that the parties have obtained CFIUS Clearance for the Merger. Each of Buyer’s, Merger Sub’s, and the Company’s obligation to consummate the Merger is also subject to certain additional conditions, including (i) subject to certain materiality standards, the accuracy of the representations and warranties of the other party or parties, (ii) 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election of the Company, the Company and Smithfield Packaged Meats Corp., an affiliate of Buyer (“SPMC”), will enter into an amendment to the licensing and supply letter agreement, dated as of December 5, 2012 (the “</w:t>
      </w:r>
      <w:r>
        <w:rPr>
          <w:rFonts w:ascii="Times New Roman" w:cs="Times New Roman" w:eastAsia="Times New Roman" w:hAnsi="Times New Roman"/>
          <w:sz w:val="18"/>
          <w:szCs w:val="18"/>
          <w:u w:val="single" w:color="auto"/>
          <w:color w:val="auto"/>
        </w:rPr>
        <w:t>Licensing Agreement</w:t>
      </w:r>
      <w:r>
        <w:rPr>
          <w:rFonts w:ascii="Times New Roman" w:cs="Times New Roman" w:eastAsia="Times New Roman" w:hAnsi="Times New Roman"/>
          <w:sz w:val="18"/>
          <w:szCs w:val="18"/>
          <w:color w:val="auto"/>
        </w:rPr>
        <w: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Merger Agreement and the transactions contemplated thereby, including the Merger, does not purport to be a complete description and is qualified in its entirety by the complete text of the Merger Agreement, a copy of which is filed as </w:t>
      </w:r>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above description of the Merger Agreement and the Merger Agreement itself have been included to provide investors and securityholders with information regarding the terms of the Merger Agreement. They are not intended to provide any other factual information about the Company, Buyer, Merger Sub or their respective subsidiaries or affiliates. The Merger Agreement contains representations and warranties of the Company solely for the benefit of Buyer and Merger Sub and for purposes of the Merger Agreement. The assertions embodied in those representations and warranties are subject to limitations agreed upon by the contracting parties and are qualified by documents filed with, or furnished to, the SEC by the Company prior to the date of the Merger Agreement as well as information in a confidential disclosure letter that the Company has delivered to Buyer and Merger Sub in connection with signing the Merger Agreement as of a specific date. The disclosure letter contains information that modifies, qualifies and creates exceptions to the representations and warranties set forth in the Merger Agreement. Therefore, investors and securityholders should not treat the representations and warranties as categorical statements of fact. Moreover, these representations and warranties may have been made for the purposes of allocating contractual risk among the parties to the Merger Agreement and may be subject to standards of materiality that are different from what may be material to investors. Investors are not third-party beneficiaries to the representations and warranties contained in the Merger Agreement and should not rely on the representations and warranties or any descriptions thereof as characterizations of the actual state of facts or condition of the parties thereto or any of their respective subsidiaries or affiliates. The representations and warranties were made only as of the date of the Merger Agreement or such other date or dates as may be specified in the Merger Agreement and information concerning the subject matter of representations and warranties may change after such dates, which subsequent information may or may not be fully reflected in the Company’s public disclosures. Accordingly, investors and securityholders should read the representations and warranties in the Merger Agreement not in isolation but only in conjunction with the other information about the Company and its subsidiaries that the Company includes in reports and statements it files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Buyer, Merger Sub, the Company and each member of the Company Board and certain stockholders of the Company listed therein, who collectively hold approximately 29.9% of the outstanding Company Shares (the “Stockholders”), entered into a Voting Agreement (the “Voting Agreement”), pursuant to which the Stockholders agreed, among other things, to vote their Company Shares (a) in favor of the adoption of the Merger Agreement, the Merger and any other actions necessary for the consummation of the Merger and the transactions contemplated by the Merger Agreement, including any proposal to adjourn the Stockholders’ Meeting to a later date if there are not sufficient votes to obtain the Company Stockholder Approval, and (b) against any Acquisition Proposal and any other action that would reasonably be expected to impede, interfere with, delay, postpone or adversely affect the Merger or any of the transactions contemplated by the Merger Agreement or the Voting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Voting Agreement will terminate upon the earlier to occur of (a) the Closing, (b) the termination of the Merger Agreement in accordance with its terms,</w:t>
      </w:r>
    </w:p>
    <w:p>
      <w:pPr>
        <w:spacing w:after="0" w:line="39" w:lineRule="exact"/>
        <w:rPr>
          <w:sz w:val="20"/>
          <w:szCs w:val="20"/>
          <w:color w:val="auto"/>
        </w:rPr>
      </w:pPr>
    </w:p>
    <w:p>
      <w:pPr>
        <w:jc w:val="both"/>
        <w:ind w:firstLine="8"/>
        <w:spacing w:after="0" w:line="253" w:lineRule="auto"/>
        <w:tabs>
          <w:tab w:leader="none" w:pos="2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Stockholders’ Meeting and the inspectors’ certification of the voting results, (d) written notice of termination of the Voting Agreement by Buyer to the Stockholders, (e) the Company Board or a committee thereof having effected an Adverse Recommendation Change (as defined in the Merger Agreement),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Buyer.</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the execution of the Voting Agreement until the termination of the Voting Agreement, the Stockholders will be subject to customary transfer restrictions with respect to their Company Shares.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Voting Agreement does not purport to be complete and is qualified in its entirety by reference to full text of the Voting Agreement, which is filed as </w:t>
      </w:r>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color w:val="auto"/>
        </w:rPr>
        <w:t xml:space="preserve"> to this Current Report on Form 8-K and is incorporated herein by reference.</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ectPr>
          <w:pgSz w:w="11900" w:h="16838" w:orient="portrait"/>
          <w:cols w:equalWidth="0" w:num="2">
            <w:col w:w="720" w:space="420"/>
            <w:col w:w="10100"/>
          </w:cols>
          <w:pgMar w:left="320" w:top="900" w:right="339" w:bottom="1440" w:gutter="0" w:footer="0" w:header="0"/>
          <w:type w:val="continuous"/>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2026, the Company entered into letter agreements (each a “Retention Agreement”) with each of Eric Gatoff, the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$3,250,000.00 for Mr. Gatoff and $1,050,000.00 for Mr. Steinberg. As consideration for the retention bonus payment, Mr. Gatoff agreed to non-competition provisions that apply for one (1) year following the termination of his employment by the Company for any reason.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 of the Retention Agreements does not purport to be a complete description and is qualified in its entirety by the complete text of the Retention Agreements, copies of which are filed as </w:t>
      </w:r>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Exhibit 10.2</w:t>
      </w:r>
      <w:r>
        <w:rPr>
          <w:rFonts w:ascii="Times New Roman" w:cs="Times New Roman" w:eastAsia="Times New Roman" w:hAnsi="Times New Roman"/>
          <w:sz w:val="18"/>
          <w:szCs w:val="18"/>
          <w:color w:val="auto"/>
        </w:rPr>
        <w:t xml:space="preserve"> to this Current Report on Form 8-K and are incorporated by reference herein.</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January 21, 2026, the Company and the Buyer jointly issued a press release announcing entry into the Merger Agreement. A copy of the press release is attached hereto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Exhibit Index below, which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0" w:type="dxa"/>
            <w:vAlign w:val="bottom"/>
            <w:gridSpan w:val="4"/>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920" w:type="dxa"/>
            <w:vAlign w:val="bottom"/>
          </w:tcPr>
          <w:p>
            <w:pPr>
              <w:spacing w:after="0"/>
              <w:rPr>
                <w:sz w:val="24"/>
                <w:szCs w:val="24"/>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Agreement and Plan of Merger, dated as of January 20, 2026, by and among Nathan's Famous, Inc., a Delaware corporation, Smithfield</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tcBorders>
              <w:top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Foods, Inc., a Virginia corporation, and Boardwalk Merger Sub Inc., a Delaware corporation and wholly owned subsidiary of Smithfield</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980" w:type="dxa"/>
            <w:vAlign w:val="bottom"/>
            <w:tcBorders>
              <w:top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Foods, Inc.*+</w:t>
            </w:r>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Voting Agreement dated as of January 20, 2026, by and among Nathan's Famous, Inc., a Delaware corporation, Smithfield Foods, Inc., a</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tcBorders>
              <w:top w:val="single" w:sz="8" w:color="0000EE"/>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Virginia corporation, Boardwalk Merger Sub Inc., a Delaware corporation and wholly owned subsidiary of Smithfield Foods, Inc., and the</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stockholders party thereto.+</w:t>
            </w:r>
          </w:p>
        </w:tc>
      </w:tr>
      <w:tr>
        <w:trPr>
          <w:trHeight w:val="20"/>
        </w:trPr>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17"/>
                <w:szCs w:val="17"/>
                <w:color w:val="auto"/>
              </w:rPr>
            </w:pPr>
          </w:p>
        </w:tc>
        <w:tc>
          <w:tcPr>
            <w:tcW w:w="9400" w:type="dxa"/>
            <w:vAlign w:val="bottom"/>
            <w:tcBorders>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Letter Agreement dated as of January 20, 2026 by and between Nathan's Famous, Inc. a Delaware corporation, and Eric Gatoff.++</w:t>
            </w:r>
          </w:p>
        </w:tc>
        <w:tc>
          <w:tcPr>
            <w:tcW w:w="60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92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Letter Agreement dated as of January 20, 2026 by and between Nathan's Famous, Inc. a Delaware corporation, and Robert Steinberg.++</w:t>
            </w:r>
          </w:p>
        </w:tc>
      </w:tr>
      <w:tr>
        <w:trPr>
          <w:trHeight w:val="196"/>
        </w:trPr>
        <w:tc>
          <w:tcPr>
            <w:tcW w:w="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Press Release, dated January 21, 2026.</w:t>
            </w:r>
          </w:p>
        </w:tc>
        <w:tc>
          <w:tcPr>
            <w:tcW w:w="700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*Schedules have been omitted pursuant to Item 601(b)(2) of Regulation S-K. The Company agrees to furnish a copy of any omitted schedule to the SEC upon request.</w:t>
      </w:r>
    </w:p>
    <w:p>
      <w:pPr>
        <w:spacing w:after="0"/>
        <w:rPr>
          <w:sz w:val="20"/>
          <w:szCs w:val="20"/>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statements that are forward-looking statements made pursuant to the safe harbor provisions of Section 27A of the Securities Act of 1933, as amended, and Section 21E of the Securities Exchange Act of 1934, as amended, including statements regarding the proposed acquisition of the Company, stockholder and regulatory approvals, the expected timetable for completing the proposed transaction and any other statements regarding the Company’s future expectations, beliefs, plans, objectives, financial conditions, assumptions or future events or performance that are not historical facts. This information may involve risks and uncertainties that could cause actual results to differ materially from such forward-looking statements. These risks and uncertainties include, but are not limited to: failure to obtain the required vote of the Company’s stockholders in connection with the proposed transaction; the timing to consummate the proposed transaction and the risk that the proposed transaction may not be completed at all or the occurrence of any event, change or other circumstances that could give rise to the termination of the Merger Agreement; the risk that the conditions to closing of the proposed transaction may not be satisfied or waived; the risk that a governmental or regulatory approval that may be required for the proposed transaction is not obtained or is obtained subject to conditions that are not anticipated; potential litigation relating to, or other unexpected costs resulting from, the proposed transaction; legislative, regulatory and economic developments; and the diversion of management’s time on transaction-related issues. The Company can give no assurance that the conditions to the proposed transaction will be satisfied, or that it will close within the anticipated time period.</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statements, other than statements of historical fact, should be considered forward-looking statements made in good faith by the Company and are intended to qualify for the safe harbor from liability established by the Private Securities Litigation Reform Act of 1995. When used in this Current Report on Form 8-K, or any other documents, words such as “believe,” “positioned,” “estimate,” “project,” “plan,” “goal,” “target,” “assumption,” “continue,” “intend,” “expect,” “future,” “anticipate,” and similar expressions are intended to identify forward-looking statements. These forward-looking statements are based on the beliefs and assumptions of management at the time that these statements were prepared and are inherently uncertain. Such forward-looking statements are subject to risks and uncertainties that could cause actual results to differ materially from those expressed or implied in the forward-looking statements. These risks and uncertainties, as well as other risks and uncertainties that could cause the Company’s actual results to differ materially from those expressed in the forward-looking statements, are described in greater detail under the heading “Item 1A. Risk Factors” in the Company’s Annual Report on Form 10-K for the fiscal year ended March 30, 2025 filed with the United States Securities and Exchange Commission (the “SEC”) and in any other SEC filings made by the Company. The Company cautions that these risks and factors are not exclusive. Additional factors that may cause actual results to differ materially from any forward-looking statements regarding the proposed transaction include, but are not limited to: occurrence of any event, change or other circumstances that could give rise to the termination of the Merger Agreement or the failure to satisfy the closing conditions, the possibility that the consummation of the proposed transaction is delayed or does not occur, including the failure of the Company’s stockholders to approve the proposed transaction, uncertainty as to whether the parties will be able to complete the proposed transaction on the terms set forth in the Merger Agreement, uncertainty regarding the timing of the receipt of required regulatory approvals for the proposed transaction and the possibility that the parties may be required to accept conditions that could reduce or eliminate the anticipated benefits of the proposed transaction as a condition to obtaining regulatory approvals or that the required regulatory approvals might not be obtained at all, the outcome of any legal proceedings that have been or may be instituted against the parties or others following announcement of the transactions contemplated by the Merger Agreement, challenges, disruptions and costs of integrating and achieving anticipated synergies, or that such synergies will take longer to realize than expected, risks that the proposed transaction and other transactions contemplated by the Merger Agreement disrupt current plans and operations that may harm the Company’s businesses, the amount of any costs, fees, expenses, impairments and charges related to the proposed transaction, and uncertainty as to the effects of the announcement or pendency of the proposed transaction on the market price of the Company's common stock and/or on its financial performance. Management cautions against putting undue reliance on forward-looking statements or projecting any future results based on such statements or present or prior earnings levels. Forward-looking statements speak only as of the date of this Current Report on Form 8-K, and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 the Company intends to file with the SEC a preliminary proxy statement and furnish or file other materials with the SEC in connection with the proposed transaction. Once the SEC completes its review of the preliminary proxy statement, a definitive proxy statement will be filed with the SEC and mailed to the stockholders of the Company. This Current Report on Form 8-K is not intended to be, and is not, a substitute for the proxy statement or any other document that the Company may file with the SEC in connection with the proposed transaction. BEFORE MAKING ANY VOTING DECISION, THE COMPANY'S STOCKHOLDERS ARE URGED TO READ THE PROXY STATEMENT AND THOSE OTHER MATERIALS CAREFULLY AND IN THEIR ENTIRETY BECAUSE THEY WILL CONTAIN IMPORTANT INFORMATION ABOUT THE PROPOSED TRANSACTION AND THE PARTIES TO THE PROPOSED TRANSACTION.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proxy statement and other relevant materials (when they become available), and any other documents filed by the Company with the SEC, may be obtained free of charge at the SEC’s website at www.sec.gov. In addition, security holders will be able to obtain free copies of the proxy statement from the Company by visiting its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Current Report on Form 8-K does not constitute a solicitation of a proxy, an offer to purchase or a solicitation of an offer to sell any securities. The Company and its directors and executive officers may be deemed to be participants in the solicitation of proxies from the stockholders of the Company in connection with the proposed transaction. Information regarding the interests of these directors and executive officers in the transaction will be included in the proxy statement described above. Additional information regarding the directors and executive officers of the Company is included in the Company's proxy statement for its 2025 Annual Meeting, which was filed with the SEC on July 25, 2025, and is supplemented by other public filings made, and to be made, with the SEC by the Company. To the extent the holdings of the Company's securities by the Company's directors and executive officers have changed since the amounts set forth in the proxy statement for its 2025 Annual Meeting, such changes have been or will be reflected on Statements of Change in Ownership on Form 4 filed with the SEC. These documents are available free of charge at the SEC’s website at www.sec.gov and on the Company's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January 21, 2026</w:t>
      </w:r>
      <w:r>
        <w:rPr>
          <w:sz w:val="20"/>
          <w:szCs w:val="20"/>
          <w:color w:val="auto"/>
        </w:rPr>
        <w:tab/>
      </w:r>
      <w:r>
        <w:rPr>
          <w:rFonts w:ascii="Times New Roman" w:cs="Times New Roman" w:eastAsia="Times New Roman" w:hAnsi="Times New Roman"/>
          <w:sz w:val="17"/>
          <w:szCs w:val="17"/>
          <w:color w:val="auto"/>
        </w:rPr>
        <w:t>NATHAN’S FAMOUS,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ind w:left="398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SMITHFIELD FOODS,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BOARDWALK MERGER SUB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NATHAN’S FAMOUS,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January 20,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740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40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740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 </w:t>
            </w:r>
          </w:p>
        </w:tc>
        <w:tc>
          <w:tcPr>
            <w:tcW w:w="2380" w:type="dxa"/>
            <w:vAlign w:val="bottom"/>
          </w:tcPr>
          <w:p>
            <w:pPr>
              <w:spacing w:after="0"/>
              <w:rPr>
                <w:sz w:val="18"/>
                <w:szCs w:val="18"/>
                <w:color w:val="auto"/>
              </w:rPr>
            </w:pP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1 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Definitional and Interpretative Provisions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2 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Closing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Merger</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Conversion of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Surrender and Payment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Dissenting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Equity Awards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Adjustments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 Rights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Lost Certificates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3 THE SURVIVING CORPORATION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Directors and Officers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0"/>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4 REPRESENTATIONS AND WARRANTIES OF THE COMPANY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Good Standing</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Board Approval; Fairness Opinion; Anti-Takeover Laws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Non-Contravention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Requisite Governmental Approvals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Capitalization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Subsidiaries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4.08</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SEC Documents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4.09</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Financial Statements; Internal Controls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Changes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 Property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4.16</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4.17</w:t>
            </w:r>
          </w:p>
        </w:tc>
        <w:tc>
          <w:tcPr>
            <w:tcW w:w="7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40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Franchise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Compliance with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Proceedings; Orders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Anti-Corruption Compliance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Economic Sanctions &amp; Export Controls Compliance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Top Suppliers; Top Customers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Quality and Safety of Food and Beverage Products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4.30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5 REPRESENTATIONS AND WARRANTIES OF PARENT AND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Existence and Power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Corporate Power; Enforceability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Non-Contravention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Requisite Governmental Approvals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 of Merger Sub</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Vote of Parent Stockholders; Required Approval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5.08</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Sufficient Funds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5.09</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Agreements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Ownership</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 Fees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Information in Proxy Statement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Other Representations and Warranties; Investigation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6 COVENANTS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Conduct of the Company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Solicitation; Acquisition Proposals; Adverse Recommendation Change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Approval of Merger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Access to Information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 of Certain Events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 Plan Matters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7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State Takeover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6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6.08</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and Officer Liability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6.09</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Consents and Approvals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6.10</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Announcements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Section 16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Transaction Litigation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 Exchange Delisting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Control of the Other Party’s Business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7 CONDITIONS TO THE MERGER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Parent and Merger Sub</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the Company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8 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Termination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 Payment of Termination Fee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0"/>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9 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Survival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Amendments and Waivers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 Benefit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9.06</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Governing Law</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9.07</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Jurisdiction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9.08</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Waiver of Jury Trial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9.09</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Specific Performance; Remedies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9.10</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9.11</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Parent Guarantee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9.12</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Entire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9.13</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Rules of Construction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9.14</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Disclosure Letter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9.15</w:t>
            </w:r>
          </w:p>
        </w:tc>
        <w:tc>
          <w:tcPr>
            <w:tcW w:w="7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Counterparts; Effectiveness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02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20, 2026, is entered into by and among Smithfield Foods, Inc., a Virginia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Boardwalk Merger Sub Inc., a Delaware corporation and wholly-owned subsidiary of Parent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Nathan’s Famous,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subject to the terms and conditions of this Agreement, the parties intend that Merger Sub be merged with and into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wholly-owned Subsidiary of Parent in accordance with the Delaware General Corporation Law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Company Board has (a) approved this Agreement and declared advisable the Merger and other transactions contemplated by this Agreement, (b) determined that this Agreement and the Merger and other transactions contemplated by this Agreement are fair to, and in the best interests of, the Company and its stockholders, (c) directed that this Agreement be submitted to the Company’s stockholders for their approval and (d) resolved, subject to the terms and conditions of this Agreement, to recommend that the Company’s stockholders adopt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Parent Board has (a) approved this Agreement and declared advisable the transactions contemplated by this Agreement and (b) determined that this Agreement and the Merger and other transactions contemplated by this Agreement are fair to and in the best interests of Parent;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as a condition and material inducement to Parent and Merger Sub’s willingness to enter into this Agreement, simultaneously with the execution and delivery of this Agreement, certain shareholders of the Company have entered into a voting agreement with Parent and the other parties thereto, pursuant to which such shareholders have agreed, on the terms and subject to the conditions set forth therein, to, among other things, vote all of their shares of Company Common Stock in favor of the approval of this Agreement, the Merger and the other transactions contemplated hereby (the “</w:t>
      </w:r>
      <w:r>
        <w:rPr>
          <w:rFonts w:ascii="Times New Roman" w:cs="Times New Roman" w:eastAsia="Times New Roman" w:hAnsi="Times New Roman"/>
          <w:sz w:val="18"/>
          <w:szCs w:val="18"/>
          <w:b w:val="1"/>
          <w:bCs w:val="1"/>
          <w:color w:val="auto"/>
        </w:rPr>
        <w:t>Shareholder Voting Agreement</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WHEREAS, the parties desire to make certain representations, warranties, covenants and agreements in connection with the Merger and the other transactions contemplated by this Agreement as set forth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of the parties set forth below, and for other good and valuable consideration the receipt and sufficient of which are hereby acknowledge, the parties hereto agree as follows: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As used herein, the following terms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xml:space="preserve">” means a customary confidentiality agreement between the Company and any Third Party containing terms no less favorable, in the aggregate, to the Company than the terms of the Confidentiality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confidentiality agreement (i) may contain provisions that permit the Company to comply with this Agreement, including the provisions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(ii) shall not in any way restrict the Company or its Representatives from complying with their respective obligations under this Agreement, (iii) need not contain any standstill or similar provision, (iv) need not contain any non-solicitation or non-contact provisions similar to the Confidentiality Agreement if the counterparty thereto does not operate in a business competitive with the Company or any of its Subsidiaries and (v) shall not require the Company or any of its Subsidiaries to reimburse the costs or expenses of any Person.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written offer or proposal from any Third Party relating to any (i) direct or indirect purchase or other acquisition (whether in a single transaction or a series of related transactions) by any Third Party, whether from the Company or any other Person(s), of shares of Company Common Stock representing more than twenty percent (20%) of the Company Common Stock outstanding after giving effect to the consummation of such purchase or other acquisition, including pursuant to a tender offer or exchange offer by any Third Party that, if consummated in accordance with its terms, would result in a Third Party beneficially owning more than twenty percent (20%) of the Company Common Stock outstanding after giving effect to the consummation of such tender or exchange offer; (ii) direct or indirect purchase or other acquisition (whether in a single transaction or a series of related transactions) by any Third Party, or stockholders or other equity holders of any such Third Party, of more than twenty percent (20%) of the consolidated assets of the Company and its Subsidiaries taken as a whole (measured by the fair market value thereof as of the date of such purchase or acquisition); or (iii) merger, consolidation, business combination, recapitalization, reorganization, liquidation, dissolution or other transaction involving the Company or any of its Subsidiaries pursuant to which any Third Party, or stockholders or equity holders of any Third Party, would hold shares of Company Common Stock representing more than twenty percent (20%) of the Company Common Stock outstanding after giving effect to the consummation of such transaction.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As used in this definition, the term “control” (including the terms “controlling,” “controlled by” and “under common control with”) means possession, directly or indirectly, of the power to direct or cause the direction of the management or policies of a Person, whether through the ownership of voting securities, by contract or otherwise.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means the United States Sherman Act, as amended, the United States Clayton Act, as amended, the HSR Act, the United States Federal Trade Commission Act, as amended, foreign competition laws and all other federal, state and local statutes, rules, regulations, orders, decrees, administrative and judicial doctrines and other laws that are designed or intended to prohibit, restrict or regulate actions having the purpose or effect of monopolization or restraint of trade or lessening of competition through merger or acquisition.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international, national, federal, state or local law (statutory, common or otherwise), constitution, treaty, convention, ordinance, code, rule, or regulation enacted, adopted, promulgated, issued or applied by a Governmental Authority that is binding upon and applicable to such Person, as amended unless expressly specified otherwise.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Saturday, Sunday or other day on which commercial banks in New York, New York are authorized or required by Applicable Law to close.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shall mean the Coronavirus Aid, Relief, and Economic Security Act, as amended from time to time, and the regulations promulgated thereunder.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means the Committee on Foreign Investment in the United States as established under the DPA.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Clearance</w:t>
      </w:r>
      <w:r>
        <w:rPr>
          <w:rFonts w:ascii="Times New Roman" w:cs="Times New Roman" w:eastAsia="Times New Roman" w:hAnsi="Times New Roman"/>
          <w:sz w:val="18"/>
          <w:szCs w:val="18"/>
          <w:color w:val="auto"/>
        </w:rPr>
        <w:t>” means the parties to this Agreement have received written notice from CFIUS that (i) the Merger is not a “covered transaction” within the meaning of the DPA, (ii) CFIUS has completed its assessment, review, or investigation of the Merger under the DPA and determined that there are no unresolved national security concerns with respect to the Merger and that all action under the DPA has been concluded or (iii) CFIUS has sent a report to the President requesting the President’s decision with respect to the CFIUS Notice and the President has announced a decision not to take any action to suspend, prohibit, or place any limitations on any of the transactions contemplated hereby. For the avoidance of doubt, if CFIUS is unable to complete action under the DPA with respect to the Merger on the basis of a CFIUS Declaration and indicates that the parties may file a written CFIUS Notice, but CFIUS has not requested that the parties submit a CFIUS Notice and has not initiated a unilateral CFIUS review of the Merger, such action shall not constitute CFIUS Clearance.</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Declaration”</w:t>
      </w:r>
      <w:r>
        <w:rPr>
          <w:rFonts w:ascii="Times New Roman" w:cs="Times New Roman" w:eastAsia="Times New Roman" w:hAnsi="Times New Roman"/>
          <w:sz w:val="18"/>
          <w:szCs w:val="18"/>
          <w:color w:val="auto"/>
        </w:rPr>
        <w:t xml:space="preserve"> means a filing submitted to CFIUS by the parties regarding the Merger that meets the content requirements of 31 C.F.R.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800.404.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Notice</w:t>
      </w:r>
      <w:r>
        <w:rPr>
          <w:rFonts w:ascii="Times New Roman" w:cs="Times New Roman" w:eastAsia="Times New Roman" w:hAnsi="Times New Roman"/>
          <w:sz w:val="18"/>
          <w:szCs w:val="18"/>
          <w:color w:val="auto"/>
        </w:rPr>
        <w:t>” means a filing submitted to CFIUS by the parties regarding the Merger that meets the content requirements of 31 C.F.R.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800.502.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Turndown</w:t>
      </w:r>
      <w:r>
        <w:rPr>
          <w:rFonts w:ascii="Times New Roman" w:cs="Times New Roman" w:eastAsia="Times New Roman" w:hAnsi="Times New Roman"/>
          <w:sz w:val="18"/>
          <w:szCs w:val="18"/>
          <w:color w:val="auto"/>
        </w:rPr>
        <w:t>” means CFIUS has informed the parties in writing that it has unresolved national security concerns with respect to the Merger and that it intends to refer the matter to the President and recommend in a report that the President prohibit the transactions contemplated hereby unless the parties abandon the Merger.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on which the Closing occurs.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means the consolidated balance sheet of the Company and its Subsidiaries as of March 30, 2025, and the footnotes thereto set forth in the Company’s annual report on Form 10-K for the fiscal year then ended filed by the Company with the SEC on June 10, 2025.</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means each “employee benefit plan” (as defined in Section 3(3) of ERISA) and each other bonus, stock option, stock purchase or other equity or equity-based, incentive compensation, profit sharing, savings, retirement, disability, vacation, deferred compensation, employment, individual consulting, services, severance, termination, retention, success, change of control, welfare, fringe benefit, and other similar plan, agreement (including individual agreements) or arrangement maintained or contributed to (or required to be contributed to) by the Company or any of its Subsidiaries (or to which the Company or a Subsidiary is a party) with or for the benefit of any current or former employee, director, or other individual service provider of the Company or any of its Subsidiaries or with respect to which the Company or any of its Subsidiaries has or would reasonably be expected to have any liability, other than any such plan, scheme or arrangement that is required to be maintained, or contributed to, by the Company or any of its Subsidiaries pursuant to Applicable Law, or any of the foregoing that is sponsored or maintained by a Governmental Authority.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means shares of common stock, par value $0.01 per share, of the Company.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Facility</w:t>
      </w:r>
      <w:r>
        <w:rPr>
          <w:rFonts w:ascii="Times New Roman" w:cs="Times New Roman" w:eastAsia="Times New Roman" w:hAnsi="Times New Roman"/>
          <w:sz w:val="18"/>
          <w:szCs w:val="18"/>
          <w:color w:val="auto"/>
        </w:rPr>
        <w:t>” means the Credit Agreement, dated as of July 10, 2024, by and among the Company, as borrower, the Subsidiaries of the Company party thereto, as guarantors, the lenders party thereto from time to time and Citibank, N.A., as administrative agent, swingline lender and issuing lender.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means the Company Stock Options, the Company RSUs and any other outstanding equity-based award (whether vested or unvested) denominated in, or the value of which is based on, shares of Company Common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FDD</w:t>
      </w:r>
      <w:r>
        <w:rPr>
          <w:rFonts w:ascii="Times New Roman" w:cs="Times New Roman" w:eastAsia="Times New Roman" w:hAnsi="Times New Roman"/>
          <w:sz w:val="18"/>
          <w:szCs w:val="18"/>
          <w:color w:val="auto"/>
        </w:rPr>
        <w:t>” means any franchise disclosure document used by the Company or any of its Subsidiaries in connection with the offer or sale of Company Franchises.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Financial Advisor</w:t>
      </w:r>
      <w:r>
        <w:rPr>
          <w:rFonts w:ascii="Times New Roman" w:cs="Times New Roman" w:eastAsia="Times New Roman" w:hAnsi="Times New Roman"/>
          <w:sz w:val="18"/>
          <w:szCs w:val="18"/>
          <w:color w:val="auto"/>
        </w:rPr>
        <w:t>” means Jefferies LLC.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Franchisee</w:t>
      </w:r>
      <w:r>
        <w:rPr>
          <w:rFonts w:ascii="Times New Roman" w:cs="Times New Roman" w:eastAsia="Times New Roman" w:hAnsi="Times New Roman"/>
          <w:sz w:val="18"/>
          <w:szCs w:val="18"/>
          <w:color w:val="auto"/>
        </w:rPr>
        <w:t>” means a Person other than the Company or any of its Subsidiaries that is granted a right (whether directly by the Company or any of its Subsidiaries or by another Company Franchisee) to develop or operate, or is granted a right to license others to develop or operate, a Company Franchise within a specific geographic area or at a specific location pursuant to a Company Franchise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Information</w:t>
      </w:r>
      <w:r>
        <w:rPr>
          <w:rFonts w:ascii="Times New Roman" w:cs="Times New Roman" w:eastAsia="Times New Roman" w:hAnsi="Times New Roman"/>
          <w:sz w:val="18"/>
          <w:szCs w:val="18"/>
          <w:color w:val="auto"/>
        </w:rPr>
        <w:t>” means all information, in any form, maintained, owned or controlled by or on behalf of the Company or any of its Subsidiaries.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all Intellectual Property owned or purported to be owned by the Company or any of its Subsidiaries.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xml:space="preserve">” means any change, event, effect, development, condition, occurrence or circumstance that, individually or in the aggregate, has a material adverse effect on the business, financial condition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following will be deemed to be or constitute a Company Material Adverse Effect or be taken into account when determining whether a Company Material Adverse Effect has occurred (subject to the limitations set forth below):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changes in general economic conditions, or changes in conditions in the global, international or United States economy generally;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changes in conditions in the financial markets, credit markets, capital markets or commodity markets (including oil, produce and livestock commodities markets) in the United States or any other country or region, including (A) changes in interest rates or credit ratings; (B) changes in exchange rates for the currencies of any country; (C) any suspension of trading in securities (whether equity, debt, derivative or hybrid securities) generally on any securities exchange or over-the-counter market operating in the United States or any other country or region or (D) changes in prices of any commodities (including oil, produce or livestock, or any commodities or products derived therefrom, including beef or beef trimmings) in the United States or any other country or region;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conditions (or changes therein) in the industries in which the Company and its Subsidiaries conduct business;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regulatory, legislative, tax or political conditions (or any changes therein), including civil unrest, protests and public demonstrations, any government responses thereto (e.g., curfews) and any escalation or worsening thereof;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any geopolitical conditions, outbreak of hostilities, acts of war (whether or not declared), sabotage, terrorism or military actions (including any escalation or general worsening of any such hostilities, acts of war, sabotage, cyberterrorism, terrorism or military actions);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earthquakes, volcanic activity, hurricanes, tsunamis, tornadoes, floods, mudslides, wild fires or other natural disasters, weather conditions and other force majeure events;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(A) epidemic, pandemic or disease outbreak, human health crises or other force majeure events, in each case, including any worsening thereof, or (B) Law or mandate, directive, pronouncement, guideline or recommendation issued by a Governmental Authority, the Centers for Disease Control and Prevention, the World Health Organization or industry group providing for business closures, “sheltering-in-place,” curfews or other restrictions that relate to, or arise out of, an epidemic, pandemic or disease outbreak or any change in such Law or directive, pronouncement or guideline or interpretation thereof or any material worsening of such conditions;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(viii)             changes in GAAP or Applicable Laws (or the enforcement, implementation or interpretation of any of the foregoing);</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the negotiation, execution, delivery or performance of this Agreement, or the announcement of this Agreement or the pendency of the Merger, including the impact thereof on the relationships, contractual or otherwise, of the Company and its Subsidiaries with customers, suppliers, lenders, lessors, business partners, employees, Governmental Authorities, vendors, franchisees, licensees, licensors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exceptions set forth in this </w:t>
      </w:r>
      <w:r>
        <w:rPr>
          <w:rFonts w:ascii="Times New Roman" w:cs="Times New Roman" w:eastAsia="Times New Roman" w:hAnsi="Times New Roman"/>
          <w:sz w:val="18"/>
          <w:szCs w:val="18"/>
          <w:u w:val="single" w:color="auto"/>
          <w:color w:val="auto"/>
        </w:rPr>
        <w:t>clause (ix)</w:t>
      </w:r>
      <w:r>
        <w:rPr>
          <w:rFonts w:ascii="Times New Roman" w:cs="Times New Roman" w:eastAsia="Times New Roman" w:hAnsi="Times New Roman"/>
          <w:sz w:val="18"/>
          <w:szCs w:val="18"/>
          <w:color w:val="auto"/>
        </w:rPr>
        <w:t xml:space="preserve"> shall not apply in connection with any breach of or inaccuracy in any representation or warranty set forth in this Agreement expressly addressing the consequences of the negotiation, execution, delivery, performance or announcement of this Agreement or the transactions contemplated herein);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the compliance by the Company with the terms of this Agreement;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action taken or refrained from being taken, in each case to which Parent has expressly approved, consented to or requested in writing following the date of this Agreement;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changes in the price or trading volume of the Company Common Stock, in and of itself (it being understood that the underlying cause of such change may be taken into consideration when determining whether a Company Material Adverse Effect has occurred, unless otherwise excluded by the exceptions to this definition);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(xiii)              any failure, in and of itself, by the Company and its Subsidiaries to meet (A) any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the underlying cause of any such failure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may be taken into consideration when determining whether a Company Material Adverse Effect has occurred, unless otherwise excluded by the exceptions to this definition);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(v), (vi), (vii), and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any such change, event, effect, development, condition, occurrence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 shall be taken into account to the extent that such change, event, effect, development, condition, occurrence or circumstance has had,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reasonably be expected to have, a disproportionate adverse effect on the Company relative to other similarly-situated companies operating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industry or industries in the United States (in which case only the incremental disproportionate adverse effect shall be taken into account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determining whether there has been a “Company Material Adverse Effect”).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(i) bylaws of the Company, as amended, and (ii) the certificate of incorporation of the Company, as amended, filed with the Secretary of State of the State of Delaware.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w:t>
      </w:r>
      <w:r>
        <w:rPr>
          <w:rFonts w:ascii="Times New Roman" w:cs="Times New Roman" w:eastAsia="Times New Roman" w:hAnsi="Times New Roman"/>
          <w:sz w:val="18"/>
          <w:szCs w:val="18"/>
          <w:color w:val="auto"/>
        </w:rPr>
        <w:t>” means restricted stock units of the Company granted and outstanding pursuant to a Company Stock Plan, whether subject to time- or performance-based vesting.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means, collectively, all forms, reports, schedules, statements and other documents (including exhibits and schedules thereto and all other information incorporated by reference) filed or furnished (as applicable) by the Company with the SEC since and including March 27, 2023, under the Exchange Act or the Securities Act, including any amendments thereto since the time of their filing.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Option</w:t>
      </w:r>
      <w:r>
        <w:rPr>
          <w:rFonts w:ascii="Times New Roman" w:cs="Times New Roman" w:eastAsia="Times New Roman" w:hAnsi="Times New Roman"/>
          <w:sz w:val="18"/>
          <w:szCs w:val="18"/>
          <w:color w:val="auto"/>
        </w:rPr>
        <w:t>” means each option (whether vested or unvested) to purchase shares of Company Common Stock outstanding under a Company Stock Plan.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Stock Plan</w:t>
      </w:r>
      <w:r>
        <w:rPr>
          <w:rFonts w:ascii="Times New Roman" w:cs="Times New Roman" w:eastAsia="Times New Roman" w:hAnsi="Times New Roman"/>
          <w:sz w:val="18"/>
          <w:szCs w:val="18"/>
          <w:color w:val="auto"/>
        </w:rPr>
        <w:t>” means the Company’s 2019 Stock Incentive Plan and the 2010 Stock Incentive Plan, as applicable.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Termination Fee</w:t>
      </w:r>
      <w:r>
        <w:rPr>
          <w:rFonts w:ascii="Times New Roman" w:cs="Times New Roman" w:eastAsia="Times New Roman" w:hAnsi="Times New Roman"/>
          <w:sz w:val="18"/>
          <w:szCs w:val="18"/>
          <w:color w:val="auto"/>
        </w:rPr>
        <w:t>” means an amount equal to $10,581,814.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or oral contract, agreement, note, bond, indenture, mortgage, guarantee, option, lease (or sublease), license, sales or purchase order, warranty, commitment, or other instrument, obligation, arrangement or understanding of any kind to which the Company or any of its Subsidiaries is a party that is (or purports to be) legally binding.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 means Section 721 of the Defense Production Act of 1950, as amended, including all regulations of CFIUS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Applicable Law relating to pollution (or the cleanup thereof), Releases of Hazardous Substances (or remediation thereof), protection of the environment or natural resources, or protection of human health or safety (with respect to pollution or exposure to Hazardous Substances).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Permits</w:t>
      </w:r>
      <w:r>
        <w:rPr>
          <w:rFonts w:ascii="Times New Roman" w:cs="Times New Roman" w:eastAsia="Times New Roman" w:hAnsi="Times New Roman"/>
          <w:sz w:val="18"/>
          <w:szCs w:val="18"/>
          <w:color w:val="auto"/>
        </w:rPr>
        <w:t>” means any licenses, permits, authorizations or registrations required under Environmental Laws.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each Person, trade or business, whether or not incorporated, under common control with the Company or any of its Subsidiaries and that, together with the Company or any of its Subsidiaries, is, has been (at a relevant time with respect to which the Company or any of its Subsidiaries continues to have any liability) or would be treated as a single employer for purposes of Section 4001(b)(1) of ERISA or Section 414(b), (c),</w:t>
      </w:r>
    </w:p>
    <w:p>
      <w:pPr>
        <w:spacing w:after="0" w:line="1"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 of the Code.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shall be as defined in Rule 16a-1(f) under the Exchange Act.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U.S. Foreign Corrupt Practices Act of 1977.</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18"/>
          <w:szCs w:val="18"/>
          <w:color w:val="auto"/>
        </w:rPr>
        <w:t>” means any grant by the Company or any of its Subsidiaries to any Person of the right to engage in or carry on a business, or to sell or offer to sell any product or service, under or in association with any trademark, advertising or commercial symbol which constitutes a “franchise,” as that term is defined under the Franchise Laws applicable in the jurisdiction in which the franchised business is located or operates, if 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Franchise Laws</w:t>
      </w:r>
      <w:r>
        <w:rPr>
          <w:rFonts w:ascii="Times New Roman" w:cs="Times New Roman" w:eastAsia="Times New Roman" w:hAnsi="Times New Roman"/>
          <w:sz w:val="18"/>
          <w:szCs w:val="18"/>
          <w:color w:val="auto"/>
        </w:rPr>
        <w:t>” means the FTC Rule and any other Applicable Law regulating the offer or sale of franchises, business opportunities or seller-assisted marketing plans including any pre-sale registration or disclosure law.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United States Federal Trade Commission or any successor 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 Rule</w:t>
      </w:r>
      <w:r>
        <w:rPr>
          <w:rFonts w:ascii="Times New Roman" w:cs="Times New Roman" w:eastAsia="Times New Roman" w:hAnsi="Times New Roman"/>
          <w:sz w:val="18"/>
          <w:szCs w:val="18"/>
          <w:color w:val="auto"/>
        </w:rPr>
        <w:t>” means the FTC trade regulation rule entitled “Disclosure Requirements and Prohibitions Concerning Franchising,” 16 C.F.R. Section 436.1 et seq.</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as in effect at the date of the subject financial statements, consistently applied.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Ghost Kitchens</w:t>
      </w:r>
      <w:r>
        <w:rPr>
          <w:rFonts w:ascii="Times New Roman" w:cs="Times New Roman" w:eastAsia="Times New Roman" w:hAnsi="Times New Roman"/>
          <w:sz w:val="18"/>
          <w:szCs w:val="18"/>
          <w:color w:val="auto"/>
        </w:rPr>
        <w:t>” means ghost kitchens, cloud kitchens or virtual restaurants, which serve customers exclusively by delivery or pick-up based on phone or online ordering.</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authorizations, approvals, licenses, franchises (but excluding Franchises), clearances, permits, certificates, waivers, consents, exemptions, variances, expirations and terminations of any waiting period requirements issued by or obtained from, and any notices, filings, registrations, qualifications, declarations and designations with or to, a Governmental Authority (including, for the avoidance of doubt, any liquor, beer, wine, mixed beverage or other alcohol permit or license).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(i) any material, substance or waste that is listed, defined or regulated as “hazardous” or “toxic,” or as a “pollutant” or “contaminant” (or words of similar meaning and regulatory effect) under Environmental Laws; (ii) petroleum, its derivatives, or by-products;</w:t>
      </w:r>
    </w:p>
    <w:p>
      <w:pPr>
        <w:spacing w:after="0" w:line="1" w:lineRule="exact"/>
        <w:rPr>
          <w:sz w:val="20"/>
          <w:szCs w:val="20"/>
          <w:color w:val="auto"/>
        </w:rPr>
      </w:pPr>
    </w:p>
    <w:p>
      <w:pPr>
        <w:ind w:firstLine="8"/>
        <w:spacing w:after="0" w:line="250" w:lineRule="auto"/>
        <w:tabs>
          <w:tab w:leader="none" w:pos="32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friable asbestos, urea formaldehyde insulation, per- and polyfluoroalkyl substances and polychlorinated biphenyls; and (iv) any radioactive substance, waste or material.</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HSR Act</w:t>
      </w:r>
      <w:r>
        <w:rPr>
          <w:rFonts w:ascii="Times New Roman" w:cs="Times New Roman" w:eastAsia="Times New Roman" w:hAnsi="Times New Roman"/>
          <w:sz w:val="17"/>
          <w:szCs w:val="17"/>
          <w:color w:val="auto"/>
        </w:rPr>
        <w:t>” means the Hart-Scott-Rodino Antitrust Improvements Act of 1976, as amended, and the rules and regulations promulgated thereunder.</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xml:space="preserve">” means, with respect to the Company and its Subsidiaries, without duplication, (i) any indebtedness for borrowed money, including under the Company Credit Facility (other than between or among the Company and its Subsidiaries), (ii) any obligations evidenced by bonds, debentures, notes or similar instruments (other than between or among the Company and its Subsidiaries), (iii) any obligations or liabilities pursuant to guarantees and arrangements having the economic effect of (A) a guarantee of any Indebtedness or (B) the assumption or guarantee of any finance lease obligations, in each case, of any other Person (other than between or among the Company and its Subsidiaries), (iv) any obligations under any swap, forward, futures, warrant, option or other derivative transaction, or interest rate or foreign currency protection agreement, (v) any obligations in respect of letters of credit, bank guarantees, security or performance bonds or similar Contracts or arrangements (other than security or performance bonds entered into in the ordinary course of business consistent with past practice), and (vi) any obligations for guarantees by the Company or one of its Subsidiaries of any Indebtedness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any other Person, other than a wholly owned Subsidiary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Indebtedness shall not include accounts receivable and payable in the ordinary course of business.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Security Incident</w:t>
      </w:r>
      <w:r>
        <w:rPr>
          <w:rFonts w:ascii="Times New Roman" w:cs="Times New Roman" w:eastAsia="Times New Roman" w:hAnsi="Times New Roman"/>
          <w:sz w:val="18"/>
          <w:szCs w:val="18"/>
          <w:color w:val="auto"/>
        </w:rPr>
        <w:t>” means any (i) unauthorized access to or loss, alteration, destruction, use, disclosure or acquisition of Company Information or (ii) compromise to the security, confidentiality, integrity or availability of Personal Information, Company Information or Systems.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the following in any jurisdiction throughout the world: (i) patents, patent applications, utility models and applications for utility models, inventor’s certificates and applications for inventor’s certificates, and invention disclosure statements, together with all reissuances, continuations, continuations-in-part, divisionals, revisions, extensions, and reexaminations thereof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(ii) works of authorship and copyrights (whether registered or unregistered), applications for copyright registration (and all translations, adaptations, derivations and combinations of the foregoing) (“</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(iii)  trademarks, service marks, trade names, logos, slogans, trade dress and other source indicators and registrations and applications to register any of the foregoing, including intent-to-use applications or similar pending reservations of marks (as well as all goodwill associated with each of the foregoing)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xml:space="preserve">”); (iv) internet domain names and social media identifiers and handles; (v) rights in software (including object code, source code, or other form), data, data sets, databases, and collections of data; (vi) rights in trade secrets, confidential information, know-how, ideas, methods, recipes, formulae, methodologies, processes, technology, customer lists and inventions; (vii) moral rights and rights of publicity; and (viii) any and all rights (created or arising under the laws of any jurisdiction anywhere in the world, whether statutory, common law, or otherwise) now existing and related to any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(or any other equivalent or similar type of proprietary intellectual property right arising from or related to intellectual property to the extent protectable by Applicable Law).</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means a material fact, event, change, development or circumstance that was not known (or if known, the magnitude or material consequences of which were unknown and not reasonably foreseeable) by the Company Board as of the date hereof, and which fact, event, change, development or circumstances (or consequences thereof) becomes known to the Company Board after the date hereof and prior to obtaining the Company Stockholder Approval.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means the actual knowledge of each of Eric Gatoff and Robert Steinberg.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encumbrance, pledge, mortgage, deed of trust, security interest, claim, lease, charge, option, right of first refusal, easement, servitude or transfer restriction.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Contract</w:t>
      </w:r>
      <w:r>
        <w:rPr>
          <w:rFonts w:ascii="Times New Roman" w:cs="Times New Roman" w:eastAsia="Times New Roman" w:hAnsi="Times New Roman"/>
          <w:sz w:val="18"/>
          <w:szCs w:val="18"/>
          <w:color w:val="auto"/>
        </w:rPr>
        <w:t xml:space="preserve">” means any of the following Contracts (together with any Contract of the type described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entered into after the date of this Agreement and prior to the Closing) to which the Company or any of its Subsidiaries is a party or by which the Company or any of its Subsidiaries or any of their assets or businesses are legally bound: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any “material contract” (as defined in Item 601(b)(10) of Regulation S-K promulgated by the SEC, other than those agreements and arrangements described in Item 601(b)(10)(iii) of Regulation S-K that constitute a Company Benefit Plan) with respect to the Company and its Subsidiaries, taken as whole, or any Contract that is required to be disclosed pursuant to Item 404 of Regulation S-K promulgated by the SEC;</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Contract with a Top Supplier or Top Customer;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any Contract containing any covenant limiting the right of the Company or any of its Subsidiaries to (A) engage in any line of business, (B) own, operate, sell, transfer, pledge or otherwise dispose of any material amount of assets or businesses or (C) solicit, hire, engage, retain or employ any Person’s current or former employees, in each case, other than (1) any such Contracts that may be cancelled without material liability to the Company or its Subsidiaries upon notice of ninety (90) days or less or (2) solely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standard geographic area restrictions contained in the Company Franchise Agreements and any other restrictions that are not material to the Company and its Subsidiaries, taken as a whole;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any Contract that limits the ability of the Company or its Subsidiaries to enter into a line of business or operate in any geographic area or market segment (including as a result of restrictions on the use of Company Intellectual Property) or that provides for exclusivity in connection with any of the foregoing, other than standard geographic area restrictions contained in the Company Franchise Agreements;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any Contract containing “most favored nation” or similar provisions that are material to the Company, other than any such Contracts that may be cancelled without material liability to the Company or its Subsidiaries upon notice of 90 days or less;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any Contract (other than the Confidentiality Agreement) containing a standstill or similar agreement pursuant to which the Company or any of its Subsidiaries has agreed not to acquire (or agreed to cause any other Person not to acquire) assets or securities of a Person;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any Contract (A) containing any “earn-out” provisions or other contingent payment obligations that would reasonably be expected to result in payment obligations by the Company or any of its Subsidiaries after the date of this Agreement or (B) under which the Company or any of its Subsidiaries has continuing obligations (1) relating to the disposition or acquisition of assets by the Company or any of its Subsidiaries with a fair market value in excess of two hundred fifty thousand Dollars ($250,000) other than in the ordinary course of business consistent with past practice; or (2) pursuant to which the Company or any of its Subsidiaries acquired and currently holds an ownership interest in any other Person or other business enterprise, other than any of the Subsidiaries of the Company, with such ownership interest having a fair market value in excess of two hundred fifty thousand Dollars ($250,000);</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any Contract under which the Company or any of its Subsidiaries has continuing obligations and involve payments after the date of this Agreement in excess of two hundred fifty thousand Dollars ($250,000) per annum;</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any Contract (A) with respect to Indebtedness for borrowed money; (B) providing for Indebtedness (other than for borrowed money) in excess of two hundred fifty thousand Dollars ($250,000); (C) providing for Indebtedness comprising guarantees of third party obligations or liabilities in excess of one hundred thousand Dollars ($100,000); or (D) that creates or grants a Lien on any material property or material asset of the Company or any of its Subsidiaries other than Permitted Liens (excluding, for the avoidance of doubt, intercompany loans between the Company and any of its Subsidiaries or between any Subsidiaries of the Company);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any Contract obligating the Company or any of its Subsidiaries to make any capital commitment or capital expenditure in an amount in excess of five hundred thousand Dollars ($500,000) that may not be cancelled without material liability to the Company or its Subsidiaries upon notice of ninety (90) days or less;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any (A) Real Property Lease or (B) Contract relating to the future or potential acquisition, development, sale or lease of a restaurant or real property, under which the Company and its Subsidiaries owe an amount in excess of two hundred fifty thousand Dollars ($250,000), and that may not be cancelled without material liability to the Company or its Subsidiaries upon notice of ninety (90) days or less;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any Contract that prohibits the payment of dividends or distributions in respect of the capital stock of the Company or any of its Subsidiaries or prohibits the pledging of capital stock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any Contract pursuant to which the Company or any of its Subsidiaries grants to a third party a license to any Company Intellectual Property or a third party grants to the Company or any of its Subsidiaries a license to any Intellectual Property owned by such third party, in each case, other than (A) Contracts involving payments of less than two hundred fifty thousand Dollars ($250,000) in the aggregate, (B) non-exclusive licenses granted to Company Franchisees and (C) non-exclusive licenses granted in the ordinary course of business consistent with past practice;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any employment, consulting, services, severance, termination, bonus or incentive compensation, deferred compensation or other compensatory Contract that (A) provides for annual compensation in excess of three hundred fifty thousand Dollars ($350,000); and (B) is not terminable on ninety (90) days or less notice without liability for any penalty or severance payment;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any Contract providing for indemnification of any officer, director or employee by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(xvi)             any collective bargaining agreement or other similar Contract with a labor union, works council, or labor organization;</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(xvii)            any Contract with any Governmental Authority that involves amounts of two thousand and fifty Dollars ($250,000) or</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(xviii)           any Contract that involves a joint venture or partnership (it being understood that this </w:t>
      </w:r>
      <w:r>
        <w:rPr>
          <w:rFonts w:ascii="Times New Roman" w:cs="Times New Roman" w:eastAsia="Times New Roman" w:hAnsi="Times New Roman"/>
          <w:sz w:val="18"/>
          <w:szCs w:val="18"/>
          <w:u w:val="single" w:color="auto"/>
          <w:color w:val="auto"/>
        </w:rPr>
        <w:t>clause (xviii)</w:t>
      </w:r>
      <w:r>
        <w:rPr>
          <w:rFonts w:ascii="Times New Roman" w:cs="Times New Roman" w:eastAsia="Times New Roman" w:hAnsi="Times New Roman"/>
          <w:sz w:val="18"/>
          <w:szCs w:val="18"/>
          <w:color w:val="auto"/>
        </w:rPr>
        <w:t xml:space="preserve"> does not include commercial arrangements where there is no joint ownership by the Company or any of its Subsidiaries and the counterparty of equity in a Person); and</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(xix)              any Contract containing a commitment or agreement to enter into any of the foregoing.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xml:space="preserve">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of competent jurisdiction (whether temporary, preliminary or permanent).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the certificate or articles of incorporation, bylaws, certificate or articles of formation, partnership agreement, limited liability company agreement, operating agreement, declaration of trust and all other similar documents, instruments or certificates of a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means the Board of Directors of the Parent.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Termination Fee</w:t>
      </w:r>
      <w:r>
        <w:rPr>
          <w:rFonts w:ascii="Times New Roman" w:cs="Times New Roman" w:eastAsia="Times New Roman" w:hAnsi="Times New Roman"/>
          <w:sz w:val="18"/>
          <w:szCs w:val="18"/>
          <w:color w:val="auto"/>
        </w:rPr>
        <w:t>” means an amount equal to $7,407,270.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of the following: (i) liens for Taxes, assessments and governmental charges or levies either not yet delinquent or that are being contested in good faith and by appropriate proceedings and for which an adequate reserve is reflected in the Company’s financial statements in accordance with GAAP; (ii) mechanics, carriers’, workmen’s, warehouseman’s, repairmen’s, materialmen’s or other liens or security interests that are not yet due and payable or that are being contested in good faith and by appropriate proceedings and for which an adequate reserve is reflected in the Company’s financial statements in accordance with GAAP; (iii) liens imposed by Applicable Law (other than Laws in respect of Tax) for amounts not yet due and payable; (iv) pledges or deposits to secure obligations pursuant to workers’ compensation Laws;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(unrecorded and of record) and other similar liens (or other encumbrances of any type), and zoning, building and other similar codes or restrictions, in each case, that do not adversely affect in any material respect the current occupancy and use of the applicable property; (vii) any non-exclusive licenses of any Intellectual Property entered into in the ordinary course of business (including Company Franchise Agreements); (viii) mortgages, pledges and other liens pursuant to the Company Credit Facility (and any refinancing, extension, renewal or replacement thereof); (ix) statutory, common Law or contractual liens securing payments not yet due and payable, including liens of landlords or lessors pursuant to the terms of any lease or liens against the interests of the landlord or owner of any leased real property unless caused by the Company or any of its Subsidiaries; (x) liens arising in the ordinary course of business with respect to surety bonds and supporting letters of credit; (xi) liens (or other encumbrances of any type) that do not materially and adversely affect the current use of the applicable property; or (xii) liens (or other encumbrances of any type) that do not secure a monetary obligation reflected in the Company SEC Documents prior to the date hereof.</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Company Information relating to an identified or identifiable natural person, including, any information that identifies, relates to, describes, is reasonably capable of being associated with, or could reasonably be linked, directly or indirectly, with a particular individual or household.</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 means the President of the United States.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Commitments</w:t>
      </w:r>
      <w:r>
        <w:rPr>
          <w:rFonts w:ascii="Times New Roman" w:cs="Times New Roman" w:eastAsia="Times New Roman" w:hAnsi="Times New Roman"/>
          <w:sz w:val="18"/>
          <w:szCs w:val="18"/>
          <w:color w:val="auto"/>
        </w:rPr>
        <w:t>” means all (i) Privacy Laws; (ii) the Company’s privacy policies, notices, or statements published by Company or its Subsidiaries; (iii) internal policies, procedures or standards of Company or its Subsidiaries; (iv) binding industry standards with respect to the security of Systems and the privacy, security, and other processing of Personal Information (including the Payment Card Industry Data Security Standard); and (v) Contracts to which the Company or its Subsidiaries is bound to the extent related to the collection, use, disclosure, sale, licensing, transfer, security, storage, retention, disposal or other processing of Personal Information.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means any Applicable Laws relating to the privacy, confidentiality, protection, transfer, disclosure, sale or security of Personal Information or Systems.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means any claim, action, charge, lawsuit, litigation, arbitration or other similar legal proceeding brought by or pending before any Governmental Authority, arbitrator, mediator or other tribunal.</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Property</w:t>
      </w:r>
      <w:r>
        <w:rPr>
          <w:rFonts w:ascii="Times New Roman" w:cs="Times New Roman" w:eastAsia="Times New Roman" w:hAnsi="Times New Roman"/>
          <w:sz w:val="18"/>
          <w:szCs w:val="18"/>
          <w:color w:val="auto"/>
        </w:rPr>
        <w:t>” means the Owned Real Property and the Leased Real Property.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w:t>
      </w:r>
      <w:r>
        <w:rPr>
          <w:rFonts w:ascii="Times New Roman" w:cs="Times New Roman" w:eastAsia="Times New Roman" w:hAnsi="Times New Roman"/>
          <w:sz w:val="18"/>
          <w:szCs w:val="18"/>
          <w:color w:val="auto"/>
        </w:rPr>
        <w:t>”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internet domain names.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Relationship Laws</w:t>
      </w:r>
      <w:r>
        <w:rPr>
          <w:rFonts w:ascii="Times New Roman" w:cs="Times New Roman" w:eastAsia="Times New Roman" w:hAnsi="Times New Roman"/>
          <w:sz w:val="18"/>
          <w:szCs w:val="18"/>
          <w:color w:val="auto"/>
        </w:rPr>
        <w:t>” means any Laws regulating Franchise termination, non-renewal, unfair practices or other aspects of the relationship between franchisors and franchisees, including the requirements under such Laws with respect to notice of default, time to cure and the actual termination of any Company Franchisee or business opportunity operator.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emitting, depositing, discharging, injecting, escaping, leaching, dispersing, dumping, pouring, or disposing into, onto or through the environment (including ambient air, surface water, ground water, land surface or subsurface strata).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the directors, officers, employees, financial advisors, attorneys, accountants, consultants, agents and other authorized representatives of such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or any successor thereto.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fifty percent (50%) of such securities or ownership interests, in each case, are at the time directly or indirectly owned by such first Person.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any written Acquisition Proposal (with all references to “20%” in the definition of Acquisition Proposal being deemed to be references to “50%”) on terms that the Company Board (or any committee thereof) has determined in good faith, after consultation with its financial advisors and outside legal counsel, and taking into account the changes, if any, to the terms of this Agreement proposed by Parent pursuant to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that (i) if consummated, would be more favorable, from a financial point of view, to the Company’s stockholders than the Merger and other transactions contemplated herein (taking into account all relevant legal, regulatory, financial, timing, financing and other aspects of such Acquisition Proposal as the Company Board (or any committee thereof) deems appropriate (including any conditions relating to financing, stockholder approval, regulatory approvals, or other events or circumstances beyond the control of the party invoking the condition)) and (ii) is reasonably likely to be, and is reasonably capable of being, consummated in accordance with its terms.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Systems</w:t>
      </w:r>
      <w:r>
        <w:rPr>
          <w:rFonts w:ascii="Times New Roman" w:cs="Times New Roman" w:eastAsia="Times New Roman" w:hAnsi="Times New Roman"/>
          <w:sz w:val="18"/>
          <w:szCs w:val="18"/>
          <w:color w:val="auto"/>
        </w:rPr>
        <w:t>” means all of the following that are owned by, used or relied on by the Company and its Subsidiaries: (i) software and software engines,</w:t>
      </w:r>
    </w:p>
    <w:p>
      <w:pPr>
        <w:spacing w:after="0" w:line="9" w:lineRule="exact"/>
        <w:rPr>
          <w:sz w:val="20"/>
          <w:szCs w:val="20"/>
          <w:color w:val="auto"/>
        </w:rPr>
      </w:pPr>
    </w:p>
    <w:p>
      <w:pPr>
        <w:jc w:val="both"/>
        <w:ind w:firstLine="8"/>
        <w:spacing w:after="0" w:line="250"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hardware (whether general or special purpose), (iii) websites, website content and links, (iv) equipment used to process, store, maintain and operate data, database operating systems and electronic data processing, record keeping and communications, (v) telecommunications systems, networks, interfaces, platforms, servers, peripherals and computer systems and (vi) other information technology infrastructure, including any outsourced systems and processes.</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any U.S. federal, state, local and non-U.S. taxes, assessments and similar governmental charges and impositions in the nature of a tax imposed by a Governmental Authority (including taxes based upon or measured by gross receipts, income, profits, gains, sales, use, or occupation, value added, ad valorem, transfer, franchise, wage or other withholding, payroll, estimated, severance, employment, unemployment, social security (or similar), workers’ compensation, excise, property, government pension plan, accumulated earnings, premiums, conveyance, net worth, capital stock, stamp, personal holding company, goods and services, environmental customs duties, registration, alternative, add-on minimum) together with any interest, penalties and additions to tax imposed thereon.</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declaration, report, statement, or information return required to be filed with a Governmental Authority with respect to Taxes, including any schedule or attachment thereto, and including any amendment thereof.</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right="20" w:firstLine="648"/>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Authority</w:t>
      </w:r>
      <w:r>
        <w:rPr>
          <w:rFonts w:ascii="Times New Roman" w:cs="Times New Roman" w:eastAsia="Times New Roman" w:hAnsi="Times New Roman"/>
          <w:sz w:val="18"/>
          <w:szCs w:val="18"/>
          <w:color w:val="auto"/>
        </w:rPr>
        <w:t>” means the U.S. Internal Revenue Service and any other Governmental Authority responsible for the administration, imposition, or collection of any Tax.</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means either the Company Termination Fee or the Parent Termination Fee.</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or “group” (as defined under Section 13(d) of the Exchange Act) of Persons, other than the Company, Parent or any of their respective Affiliates or Representatives (in such capacity).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means any Proceeding commenced or threatened against a party hereto, its Affiliates or its or their respective directors or officers or otherwise relating to, involving or affecting such party or its Affiliates or such directors or officers, in each case in connection with, arising from or otherwise relating to this Agreement or the transactions contemplated herein, other than a Proceeding solely among the parties related to this Agreement.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regulations promulgated under the Code by the United States Department of Treasury.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Worker Adjustment and Retraining Notification Act of 1988 and any similar Law.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means an intentional and material breach, or an intentional and material failure to perform, in each case that is the consequence of an act or omission by a party hereto with the knowledge that the taking of such act or failure to take such act would cause a material breach of this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6.02(d)</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6.02(a)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Anti-Takeover Laws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Benefits Continuation Period</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Board Recommendation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2.02(a)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2.03(a)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Article 4</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Franchise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Franchise Agreements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Qualified Plan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6.06(e)</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Welfare Plan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6.06(f)</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4.06(c)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 Approval</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6.06(a)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Covered Persons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6.08(a)</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Current Premiums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6.08(c)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2.02(b)</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8.01(c)</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Enforceability Exceptions</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Fairness Opinion</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4.03(b)</w:t>
            </w: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Franchise Schedule Period</w:t>
            </w:r>
          </w:p>
        </w:tc>
        <w:tc>
          <w:tcPr>
            <w:tcW w:w="720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4.19(e)</w:t>
            </w:r>
          </w:p>
        </w:tc>
      </w:tr>
      <w:tr>
        <w:trPr>
          <w:trHeight w:val="282"/>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 </w:t>
            </w:r>
          </w:p>
        </w:tc>
        <w:tc>
          <w:tcPr>
            <w:tcW w:w="7200" w:type="dxa"/>
            <w:vAlign w:val="bottom"/>
          </w:tcPr>
          <w:p>
            <w:pPr>
              <w:spacing w:after="0"/>
              <w:rPr>
                <w:sz w:val="24"/>
                <w:szCs w:val="24"/>
                <w:color w:val="auto"/>
              </w:rPr>
            </w:pPr>
          </w:p>
        </w:tc>
      </w:tr>
      <w:tr>
        <w:trPr>
          <w:trHeight w:val="420"/>
        </w:trPr>
        <w:tc>
          <w:tcPr>
            <w:tcW w:w="40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Agreements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6.08(a)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License Extension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8.02(d)</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Licensed Intellectual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4.15(b)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Multiple Employer Plan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Notice of Change of Recommendation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6.02(e)(ii)</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Notice of Change Period</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w w:val="96"/>
              </w:rPr>
              <w:t>6.02(e)(iii)</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Option Consideration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2.06(a)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Other Anti-Bribery Laws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2.04(a)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2.04(a)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 Clearance Date</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6.03(c)</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4.13(b)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RSU Award Payment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2.06(b)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Sanctions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4.25(a)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Voting Agreement</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Subsidiary</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4.07(d)</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Meeting</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6.03(c)</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Subsidiary Securities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4.07(b)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Top Customers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4.26(b)</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Top Suppliers</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4.26(a)</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2.02(c)</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5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 </w:t>
            </w:r>
          </w:p>
        </w:tc>
      </w:tr>
    </w:tbl>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defined in this Agreement shall be deemed also to define the corollary plural definition,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from time to time. References to “$” and “dollars” are to the currency of the United States. References from or through any date shall mean, unless otherwise specified, from and including or through and including, respectively. Accounting terms used, but not specifically defined, in this Agreement shall be construed in accordance with GAAP. The phrases “made available”, “furnished” or similar phrases as used in this Agreement shall mean that the subject documents were either posted in the “Project Cyclone” data room maintained by the Company or delivered to Parent or its accountants, attorneys or other agents in each case by 5:00 p.m. Eastern Time on the day prior to the date hereof. If the day by which an action is required or permitted to be taken under the Agreement is a non-Business Day, then such action may be taken on the next succeeding Business Day.</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The Closing</w:t>
      </w:r>
      <w:r>
        <w:rPr>
          <w:rFonts w:ascii="Times New Roman" w:cs="Times New Roman" w:eastAsia="Times New Roman" w:hAnsi="Times New Roman"/>
          <w:sz w:val="18"/>
          <w:szCs w:val="18"/>
          <w:color w:val="auto"/>
        </w:rPr>
        <w:t>. Upon the terms and subject to the conditions set forth herein, the closing of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will take place at 9:00 a.m., Eastern time, on the date that is as soon as practicable (and, in any event, within three (3) Business Days) after satisfaction or, to the extent permitted hereunder, waiver of all conditions to the Merger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(to the extent permitted hereunder) of such conditions), unless this Agreement has been terminated pursuant to its terms or unless another time or date is agreed to in writing by the parties hereto. The Closing shall be by the electronic exchange of signatures and documents and, to the extent physical exchange and delivery is required, at the offices of Hunton Andrews Kurth LLP, 951 E. Byrd Street, Richmond, VA 23219, unless another place is agreed to in writing by the parties hereto.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8"/>
          <w:szCs w:val="18"/>
          <w:color w:val="auto"/>
        </w:rPr>
        <w:t>(a)            Upon the terms and subject to the conditions set forth in this Agreement, as soon as practicable after the Closing, Parent and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shall cause a certificate of merger (the “</w:t>
      </w:r>
      <w:r>
        <w:rPr>
          <w:rFonts w:ascii="Times New Roman" w:cs="Times New Roman" w:eastAsia="Times New Roman" w:hAnsi="Times New Roman"/>
          <w:sz w:val="18"/>
          <w:szCs w:val="18"/>
          <w:b w:val="1"/>
          <w:bCs w:val="1"/>
          <w:color w:val="auto"/>
        </w:rPr>
        <w:t>Certificate of Merger</w:t>
      </w:r>
      <w:r>
        <w:rPr>
          <w:rFonts w:ascii="Times New Roman" w:cs="Times New Roman" w:eastAsia="Times New Roman" w:hAnsi="Times New Roman"/>
          <w:sz w:val="18"/>
          <w:szCs w:val="18"/>
          <w:color w:val="auto"/>
        </w:rPr>
        <w:t>”) to be executed and delivered to the Secretary of State of the State of Delaware</w:t>
      </w:r>
    </w:p>
    <w:p>
      <w:pPr>
        <w:spacing w:after="0" w:line="9"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8"/>
          <w:szCs w:val="18"/>
          <w:color w:val="auto"/>
        </w:rPr>
        <w:t>for filing as provided in the DGCL.</w:t>
      </w:r>
    </w:p>
    <w:p>
      <w:pPr>
        <w:spacing w:after="0" w:line="9"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(b)            The Merger shall become effective on such date and at such time when the Certificate of Merger has been filed with the Secretary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of State of the State of Delaware, or at such later time and date as may be agreed by the parties in writing and specified in the Certificate of Merger (the</w:t>
      </w:r>
    </w:p>
    <w:p>
      <w:pPr>
        <w:spacing w:after="0" w:line="9" w:lineRule="exact"/>
        <w:rPr>
          <w:sz w:val="20"/>
          <w:szCs w:val="20"/>
          <w:color w:val="auto"/>
        </w:rPr>
      </w:pPr>
    </w:p>
    <w:p>
      <w:pPr>
        <w:jc w:val="right"/>
        <w:ind w:right="9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99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At the Effective Time, Merger Sub shall be merged with and into the Company in accordance with the DGCL, whereupon the separate existence of Merger Sub shall cease, and the Company shall be the surviving corporation in the Merger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the separate corporate existence of the Company, with all its rights, privileges, immunities, powers and franchises, shall continue unaffected by the Merger. The Merger shall have the effects specified in the DGCL.</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Conversion of Shares</w:t>
      </w:r>
      <w:r>
        <w:rPr>
          <w:rFonts w:ascii="Times New Roman" w:cs="Times New Roman" w:eastAsia="Times New Roman" w:hAnsi="Times New Roman"/>
          <w:sz w:val="18"/>
          <w:szCs w:val="18"/>
          <w:color w:val="auto"/>
        </w:rPr>
        <w:t>. At the Effective Time, as a result of the Merger and without any action on the part of Parent, Merger Sub, the Company or the holders of any capital stock of Parent, Merger Sub or the Company: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as otherwise provided in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each share of Company Common Stock issued and outstanding immediately prior to the Effective Time shall be automatically canceled and converted into the right to receive $102.00 in cash without interest (the “</w:t>
      </w:r>
      <w:r>
        <w:rPr>
          <w:rFonts w:ascii="Times New Roman" w:cs="Times New Roman" w:eastAsia="Times New Roman" w:hAnsi="Times New Roman"/>
          <w:sz w:val="18"/>
          <w:szCs w:val="18"/>
          <w:b w:val="1"/>
          <w:bCs w:val="1"/>
          <w:color w:val="auto"/>
        </w:rPr>
        <w:t>Per Share Merger Consideration</w:t>
      </w:r>
      <w:r>
        <w:rPr>
          <w:rFonts w:ascii="Times New Roman" w:cs="Times New Roman" w:eastAsia="Times New Roman" w:hAnsi="Times New Roman"/>
          <w:sz w:val="18"/>
          <w:szCs w:val="18"/>
          <w:color w:val="auto"/>
        </w:rPr>
        <w:t>”). As of the Effective Time, all such shares of Company Common Stock shall no longer be issued and outstanding and shall automatically be canceled and shall cease to exist, and each holder of a certificate formerly representing any such shares of Company Common Stock (each a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Certificates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references herein to “Certificate” or “Certificates” are deemed to include references to book-entry account statements relating to the ownership of shares of Company Common Stock) shall cease to have any rights with respect thereto, except the right to receive the Per Share Merger Consideration for each share upon surrender of such Certificate in accordance with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each share of Company Common Stock owned or held in treasury by the Company and any shares of Company Common Stock owned by Parent or Merger Sub (or any of their respective Affiliates) immediately prior to the Effective Time shall automatically be canceled and shall cease to exist and no consideration shall be delivered in exchange therefor;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each share of common stock of Merger Sub issued and outstanding immediately prior to the Effective Time shall automatically be converted into and become one fully paid, nonassessable share of common stock, par value $0.01 per share, of the Surviving Corporation with the same rights, powers and privileges as the shares so converted and shall constitute the only outstanding shares of capital stock of the Surviving Corporation.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Surrender and Payment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Prior to the Effective Time, Parent shall appoint Equiniti Trust Company, LLC, or one of its Affiliates, as the paying agent (or such other nationally recognized paying agent designated by Parent and reasonably acceptable to the Company)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to act as agent for the Company’s stockholders who shall become entitled to receive the Per Share Merger Consideration. Prior to the Effective Time, the Company and Parent shall enter into a paying agent agreement with the Paying Agent, which agreement shall set forth the duties, responsibilities and obligations of the Paying Agent consistent with the terms of this Agreement and otherwise reasonably acceptable to the Company and Parent. Parent shall pay, or cause to be paid, all charges and expenses of the Paying Agent in connection with the exchange of shares of Company Common Stock for the Per Share Merger Consideration.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At or prior to the Effective Time, Parent shall deposit, or shall cause to be deposited, with the Paying Agent the aggregate Per Share Merger Consideration (the “Payment Fund”). To the extent such fund diminishes for any reason below the level required to make prompt payment of the aggregate Per Share Merger Consideration, Parent and the Surviving Corporation shall promptly replace or restore, or cause to be replaced or restored, the shortfall in such fund so as to ensure that it is, at all times, maintained at a level sufficient to make such payments as promptly as reasonably practical. The Payment Fund shall be invested by the Paying Agent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investment or losses thereon shall relieve Parent from making the payments required by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or affect the amount of the aggregate Per Share Merger Consideration payable hereunder, and following any losses Parent shall promptly provide additional funds to the Paying Agent in the amount of any such losses, (ii) no such investment shall have maturities that could prevent or delay payments to be made pursuant to this Agreement and (iii) such investments shall be in short-term obligations of the United States with maturities of no more than thirty (30) days, or guaranteed by, and backed by the full faith and credit of, the United States. Any and all interest or other amounts earned with respect to such funds shall become part of the Payment Fund and shall be paid to the Surviving Corporation on the earlier of twelve (12) months after the Closing Date or the full payment of the aggregate Per Share Merger Consideration. The Payment Fund shall not be used for any other purpose. The Surviving Corporation shall (and Parent shall cause the Surviving Corporation to) pay all charges and expenses, including those of the Paying Agent, in connection with the exchange of shares of Company Common Stock and the payment of the Per Share Merger Consideration in respect of such shares. Promptly after the Effective Time (and in no event later than three (3) Business Days after the Effective Time), Parent shall send, or shall cause the Paying Agent to send, to each record holder of shares of Company Common Stock immediately prior to the Effective Time whose shares were converted into the right to receive the Per Share Merger Consideration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 letter of transmittal and instructions in customary forms reasonably satisfactory to the Company prior to the Effective Time (which shall specify that the delivery shall be effected, and risk of loss and title shall pass, only upon proper delivery or transfer of the Certificates (or affidavits of loss in lieu of the Certificates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to the Paying Agent for use in such exchange).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Each holder of shares of Company Common Stock that have been converted into the right to receive the Per Share Merger Consideration shall be entitled to receive the Per Share Merger Consideration in respect of each share of Company Common Stock represented by a Certificate, promptly, upon (i) surrender to the Paying Agent of a Certificate, together with a duly completed and validly executed letter of transmittal and such other documents as may reasonably be requested by the Paying Agent, or (ii) in the case of a book-entry transfer of shares of Company Common Stock, receipt of a customary “agent’s message” by the Paying Agent (or such other evidence, if any, of transfer as the Paying Agent may reasonably request), and, in each case, delivery to the Paying Agent of such other documents as may reasonably be requested by the Paying Agent. Until so surrendered or transferred, each such Certificate shall represent after the Effective Time for all purposes only the right to receive such Per Share Merger Consideration. No interest shall be paid or accrued for the benefit of any holder of Company Common Stock on any amount payable upon the surrender or transfer of any Certificate.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If any portion of the Per Share Merger Consideration is to be paid to a Person other than the Person in whose name the surrendered Certificate is registered, it shall be a condition to such payment that (i) either such Certificate shall be properly endorsed or shall otherwise be in proper form for transfer and (ii) the Person requesting such payment shall pay to the Paying Agent any transfer or other Tax required as a result of such payment to a Person other than the registered holder of such Certificate or establish to the satisfaction of the Paying Agent that such Tax has been paid or is not applicable.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All Per Share Merger Consideration paid upon the surrender of Certificates in accordance with the terms hereof shall be deemed to have been paid in full satisfaction of all rights pertaining to the shares of Company Common Stock formerly represented by such Certificate and from and after the Effective Time, there shall be no further registration of transfers of shares of Company Common Stock on the stock transfer books of the Surviving Corporation. If, after the Effective Time, Certificates are presented to Paying Agent or the Surviving Corporation, they shall be canceled and exchanged for the Per Share Merger Consideration provided for, and in accordance with the procedures set forth, in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Any portion of the Payment Fund that remains unclaimed by the holders of shares of Company Common Stock on the date that is twelve (12) months after the Closing Date shall be delivered to Parent or the Surviving Corporation, as determined by Parent, and any such holder who has not exchanged shares of Company Common Stock for the Per Share Merger Consideration in accordance with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prior to that time shall thereafter look only to the Surviving Corporation as general creditors thereof for payment of the Per Share Merger Consideration, without interest. Any amounts remaining unclaimed by such holders at such time at which such amounts would otherwise escheat to or become property of any Governmental Authority shall become, to the extent permitted by Applicable Law, the property of Parent or its designee, free and clear of all claims or interest of any Person previously entitled thereto. Notwithstanding anything in this Agreement to the contrary, none of the Surviving Corporation, Parent, the Paying Agent or any other Person shall be liable to any former holder of Company Common Stock or any Company Equity Awards for any amount properly delivered to a public official pursuant to applicable abandoned property, escheat or similar Law.</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Dissenting Shares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shares of Company Common Stock issued and outstanding immediately prior to the Effective Time and held by a holder who has not voted in favor of the adoption of this Agreement or consented thereto in writing, who is entitled to appraisal under the DGCL and who has properly exercised appraisal rights for such shares in accordance with Section 262 of the DGCL, shall not be converted into a right to receive the Per Share Merger Consideration but instead shall be entitled only to payment for such shares determined in accordance with Section 262 of the DGCL following which such shares shall automatically be canceled and shall cease to exist;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Per Share Merger Consideration (less any amounts entitled to be deducted or withheld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less any amounts previously paid to such holder pursuant to Section 262(h) of the DGCL), in accordance with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without interest thereon, upon surrender of such Certificate formerly representing such shares. The Company shall provide Parent prompt written notice of any demands received by the Company for appraisal of shares of Company Common Stock, any withdrawal of any such demand and any other demand, notice, or instrument delivered to the Company prior to the Effective Time pursuant to Section 262 of the DGCL that relate to such demand, and Parent shall have the opportunity and right to participate in and control all negotiations and proceedings with respect to such demands. Except with the prior written consent of Parent, the Company shall not make any payment with respect to, settle, compromise, or waive any holder’s failure to comply with the DGCL, or offer or agree to do any of the foregoing.</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Company Equity Awards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Company Stock Options. Immediately prior to the Effective Time, by virtue of the Merger and without any action on the part of the holders thereof, each Company Stock Option, whether or not vested and exercisable, that is outstanding and unexercised immediately prior to the Effective Time, shall be automatically converted into the right to receive from Parent or the Surviving Corporation an amount in cash equal to the product obtained by multiplying (i) the excess, if any, of the Per Share Merger Consideration over the per share exercise price of such Company Stock Option, by</w:t>
      </w:r>
    </w:p>
    <w:p>
      <w:pPr>
        <w:spacing w:after="0" w:line="2" w:lineRule="exact"/>
        <w:rPr>
          <w:sz w:val="20"/>
          <w:szCs w:val="20"/>
          <w:color w:val="auto"/>
        </w:rPr>
      </w:pPr>
    </w:p>
    <w:p>
      <w:pPr>
        <w:jc w:val="both"/>
        <w:ind w:firstLine="8"/>
        <w:spacing w:after="0" w:line="250" w:lineRule="auto"/>
        <w:tabs>
          <w:tab w:leader="none" w:pos="27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of Company Common Stock that were issuable upon exercise of such Company Stock Option immediately prior to the Effective Time (such product, the “</w:t>
      </w:r>
      <w:r>
        <w:rPr>
          <w:rFonts w:ascii="Times New Roman" w:cs="Times New Roman" w:eastAsia="Times New Roman" w:hAnsi="Times New Roman"/>
          <w:sz w:val="18"/>
          <w:szCs w:val="18"/>
          <w:b w:val="1"/>
          <w:bCs w:val="1"/>
          <w:color w:val="auto"/>
        </w:rPr>
        <w:t>Option Consideration</w:t>
      </w:r>
      <w:r>
        <w:rPr>
          <w:rFonts w:ascii="Times New Roman" w:cs="Times New Roman" w:eastAsia="Times New Roman" w:hAnsi="Times New Roman"/>
          <w:sz w:val="18"/>
          <w:szCs w:val="18"/>
          <w:color w:val="auto"/>
        </w:rPr>
        <w:t xml:space="preserve">”). From and after the Effective Time, Company Stock Options shall no longer represent the right to purchase shares of Company Common Stock by the former holder thereof, but shall only entitle such holder to the payment of the Option Consideration, if any. Payments of the Option Consideration shall be paid by the later of (1) the first payroll date after the Effective Time or (2) three (3) Business Days after the Effective Time. All payments provided pursuant to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shall be made through the Company’s payroll systems, subject to withholding in accordance with the provisions of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If the exercise price per share of any Company Stock Option equals or exceeds the Per Share Merger Consideration, the Option Consideration therefor shall be zero, such Company Stock Options shall be cancelled and none of Parent, the Surviving Corporation or any of their Affiliates shall have any obligation to make any payments or provide any other consideration to the holders in respect of such Company Stock Options.</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Company Restricted Stock Units. Immediately prior to the Effective Time, by virtue of the Merger and without any action on the part of the holders thereof, each Company RSU shall be deemed to have been earned and become fully vested (in the case of any performance based award, with the applicable performance metrics at the target level), shall not be continued, assumed or substituted by Parent, Merger Sub or the Surviving Corporation in the Merger and shall be canceled and extinguished as of the Effective Time and, in exchange therefor, each former holder of any such Company RSU shall have the right to receive from Parent or the Surviving Corporation an amount in cash equal to the product obtained by multiplying (i) the number of shares of Company Common Stock subject to such Company RSU by (ii) the Per Share Merger Consideration (such amount, the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Payment</w:t>
      </w:r>
      <w:r>
        <w:rPr>
          <w:rFonts w:ascii="Times New Roman" w:cs="Times New Roman" w:eastAsia="Times New Roman" w:hAnsi="Times New Roman"/>
          <w:sz w:val="18"/>
          <w:szCs w:val="18"/>
          <w:color w:val="auto"/>
        </w:rPr>
        <w:t>”). Any dividend equivalents earned prior to the Effective Time will be paid in cash as soon as administratively practicable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settlement of the Company RSUs. From and after the Effective Time, each Company RSU shall no longer represent the right to receive shares of Company Common Stock by the former holder thereof, but shall only entitle such holder to the payment of the RSU Award Payment. The RSU Award Payments shall be paid by the later of (1) the first payroll date after the Effective Time or (2) three (3) Business Days after the Effective Time. All payments provided pursuant to this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shall be made through the Company’s payroll systems, subject to withholding in accordance with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2.08</w:t>
      </w:r>
      <w:r>
        <w:rPr>
          <w:rFonts w:ascii="Times New Roman" w:cs="Times New Roman" w:eastAsia="Times New Roman" w:hAnsi="Times New Roman"/>
          <w:sz w:val="18"/>
          <w:szCs w:val="18"/>
          <w:color w:val="auto"/>
        </w:rPr>
        <w:t>.</w:t>
      </w:r>
    </w:p>
    <w:p>
      <w:pPr>
        <w:spacing w:after="0" w:line="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As soon as reasonably practicable following the date hereof and in any event prior to the Effective Time, the Company Board (or, if appropriate, any committee administering the 2019 Stock Incentive Plan or the 2010 Stock Incentive Plan) shall adopt such resolutions and take such actions that are necessary for the treatment of the Company Equity Awards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which resolutions will also provide that such Company Equity Awards and the 2019 Stock Incentive Plan and 2010 Stock Incentive Plan shall terminate conditioned upon, and effective immediately prior to, the Effective Time and the holders thereof will be entitled only to the amount, if any, specified herein in respect thereof.</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xml:space="preserve">. If, during the period between the date hereof and the Effective Time, any change in the outstanding shares of capital stock of the Company shall occur, including by reason of any reclassification, recapitalization, stock split (including reverse stock split) or combination, exchange or readjustment of shares, or any stock dividend, the Per Share Merger Consideration and any other amounts payable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shall be adjusted to equitably provide holders of the Company Common Stock the same economic effect as contemplated by this Agreement prior to such event. Nothing in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construed to permit the Company or any of its Subsidiaries to take any action with respect to its securities that is otherwise prohibited or restricted by the terms of this Agreement, including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Withholding Rights</w:t>
      </w:r>
      <w:r>
        <w:rPr>
          <w:rFonts w:ascii="Times New Roman" w:cs="Times New Roman" w:eastAsia="Times New Roman" w:hAnsi="Times New Roman"/>
          <w:sz w:val="18"/>
          <w:szCs w:val="18"/>
          <w:color w:val="auto"/>
        </w:rPr>
        <w:t>. Each of Parent, Merger Sub, the Surviving Corporation and the Paying Agent shall be entitled to deduct and withhold from the consideration otherwise payable to any Person pursuant to this Agreement (including any holder of Company Common Stock or a Company Equity Award who is entitled to receive a payment pursuant to this Agreement) such amounts as it is required to deduct or withhold with respect to the making of such payment under any provision of any Applicable Law in respect of Taxes. To the extent that amounts are so deducted or withheld and are paid to the applicable Taxing Authority in accordance with Applicable Law by Parent, Merger Sub, the Surviving Corporation or the Paying Agent, as the case may be (or caused to be so paid), such amounts shall be treated for all purposes of this Agreement as having been paid to the Person in respect of which such deduction or withholding was made. If the Company, the Surviving Corporation or Parent determine that any amounts are required to be deducted or withheld (other than any deduction or withholding with respect to any payments constituting compensation for services or any backup withholding), the Company, the Surviving Corporation or Parent shall use commercially reasonable efforts to, prior to deducting or withholding such amounts, notify each other in respect of such determination and shall provide a reasonable opportunity for the Person subject to such deduction or withholding to establish or obtain any exemption from or reduction in the amount of any such deduction or withholding that otherwise would be required.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Lost Certificates</w:t>
      </w:r>
      <w:r>
        <w:rPr>
          <w:rFonts w:ascii="Times New Roman" w:cs="Times New Roman" w:eastAsia="Times New Roman" w:hAnsi="Times New Roman"/>
          <w:sz w:val="18"/>
          <w:szCs w:val="18"/>
          <w:color w:val="auto"/>
        </w:rPr>
        <w:t xml:space="preserve">. In the event that any Certificates shall have been lost, stolen or destroyed, the Paying Agent shall issue in exchange for such lost, stolen or destroyed Certificates, upon the making of an affidavit of that fact by the holder thereof and, if required by Parent, an indemnity bond (in customary and reasonable sum), the Per Share Merger Consideration payable in respect thereof pursuant to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SURVIVING 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xml:space="preserve">. By virtue of the Merger, at the Effective Time, the certificate of incorporation of the Company shall be amended and restated to read in its entirety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(which contains such provisions as are necessary to give full effect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6.08(a)</w:t>
      </w:r>
      <w:r>
        <w:rPr>
          <w:rFonts w:ascii="Times New Roman" w:cs="Times New Roman" w:eastAsia="Times New Roman" w:hAnsi="Times New Roman"/>
          <w:sz w:val="18"/>
          <w:szCs w:val="18"/>
          <w:color w:val="auto"/>
        </w:rPr>
        <w:t xml:space="preserve"> hereof), and as so amended and restated shall be the certificate of incorporation of the Surviving Corporation until amended in accordance with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By virtue of the Merger, at the Effective Time, the bylaws of the Company shall be amended and restated to read in their entirety as the bylaws of Merger Sub in effect immediately prior to the Effective Time (which contain such provisions as are necessary to give full effect to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hereof), except the references to Merger Sub’s name shall be replaced by references to “Nathan’s Famous, Inc.”, and as so amended shall be the bylaws of the Surviving Corporation until amended in accordance with Applicable Law.</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Directors and Officers</w:t>
      </w:r>
      <w:r>
        <w:rPr>
          <w:rFonts w:ascii="Times New Roman" w:cs="Times New Roman" w:eastAsia="Times New Roman" w:hAnsi="Times New Roman"/>
          <w:sz w:val="18"/>
          <w:szCs w:val="18"/>
          <w:color w:val="auto"/>
        </w:rPr>
        <w:t>. The parties hereto shall take all actions necessary so that, from and after the Effective Time, (a) the directors of Merger Sub immediately prior to the Effective Time shall be the directors of the Surviving Corporation from and after the Effective Time, and shall hold such office until the earlier of their death, resignation or removal or until their respective successors are duly elected and qualified, and (b) the officers of Merger Sub immediately prior to the Effective Time, from and after the Effective Time, shall be the officers of the Surviving Corporation, and shall hold such office until the earlier of their death resignation or removal or until their respective successors are duly appointed and qualified.</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(a) as disclosed in the Company SEC Documents filed by the Company with the SEC on or after January 1, 2024, and at least one (1) Business Day prior to the date of this Agreement (other than any disclosures contained under the captions “Risk Factors” and “Quantitative and Qualitative Disclosures About Market Risk”, disclosure set forth in any “forward-looking statements” disclaimer or any other disclosures that are predictive or forward-looking in nature (other than any factual or historical information contained therein)) and including any exhibits or schedules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disclosed in such Company SEC Documents shall be deemed to qualify or modify the representations and warranties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or (b) as set forth in the disclosure letter delivered by the Company to Parent and Merger Sub on the date of this Agreement prior to the execution hereof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the Company hereby represents and warrants to Parent and Merger Sub as follows: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individually or in the aggregate, a Company Material Adverse Effect. The Company is duly qualified to do business and is in good standing (to the extent the applicable jurisdiction recognizes such concept)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True and complete copies of the Company Organizational Documents, each as in effect on the date of this Agreement, are included in the Company SEC Documents.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The Company has all requisite corporate power and authority to enter into, deliver and perform its obligations under this Agreement and consummate the transactions contemplated herein,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in the case of the consummation of the Merger, to obtaining the Company Stockholder Approval. The execution, delivery and performance by the Company of this Agreement and the consummation by the Company of the Merger and the other transactions contemplated by this Agreement have been duly authorized by all necessary corporate action on the part of the Company,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and, in the case of the consummation of the Merger, to obtaining the Company Stockholder Approval. Subject to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the only vote of holders of any class or series of capital stock of the Company necessary to adopt and approve this Agreement and to consummate the Merger and the transactions contemplated by this Agreement (under Applicable Law, the Company Organizational Documents or otherwise) is the adoption of this Agreement by the affirmative vote of a majority of the outstanding shares of Company Common Stock, voting as a single class (such vote, the “</w:t>
      </w:r>
      <w:r>
        <w:rPr>
          <w:rFonts w:ascii="Times New Roman" w:cs="Times New Roman" w:eastAsia="Times New Roman" w:hAnsi="Times New Roman"/>
          <w:sz w:val="18"/>
          <w:szCs w:val="18"/>
          <w:b w:val="1"/>
          <w:bCs w:val="1"/>
          <w:color w:val="auto"/>
        </w:rPr>
        <w:t>Company Stockholder Approval</w:t>
      </w:r>
      <w:r>
        <w:rPr>
          <w:rFonts w:ascii="Times New Roman" w:cs="Times New Roman" w:eastAsia="Times New Roman" w:hAnsi="Times New Roman"/>
          <w:sz w:val="18"/>
          <w:szCs w:val="18"/>
          <w:color w:val="auto"/>
        </w:rPr>
        <w:t xml:space="preserve">”).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(a) such enforceability may be limited by applicable bankruptcy, insolvency, fraudulent conveyance, reorganization, moratorium and other similar Laws affecting or relating to creditors’ rights generally and (b) equitable remedies of specific performance and injunctive and other forms of equitable relief may be subject to equitable defenses and to the discretion of the court before which any proceeding therefor may be brought (such exceptions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Company Board Approval; Fairness Opinion; Anti-Takeover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Company Board Approval. The Company Board has (i) determined that this Agreement, the Merger and the other transactions contemplated hereby are fair to, advisable and in the best interests of the Company and the stockholders of the Company, (ii) approved this Agreement, the Merger and the other transactions contemplated hereby and declared it advisable that the Company enter into this Agreement and consummate the Merger and other transactions contemplated hereby, (iii) authorized and approved the execution, delivery and performance by the Company of this Agreement and consummation of the Merger and other transactions contemplated hereby, (iv) subject to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determined to recommend that the stockholders of the Company approve the Merger and adopt this Agreement (the “</w:t>
      </w:r>
      <w:r>
        <w:rPr>
          <w:rFonts w:ascii="Times New Roman" w:cs="Times New Roman" w:eastAsia="Times New Roman" w:hAnsi="Times New Roman"/>
          <w:sz w:val="18"/>
          <w:szCs w:val="18"/>
          <w:b w:val="1"/>
          <w:bCs w:val="1"/>
          <w:color w:val="auto"/>
        </w:rPr>
        <w:t>Board Recommendation</w:t>
      </w:r>
      <w:r>
        <w:rPr>
          <w:rFonts w:ascii="Times New Roman" w:cs="Times New Roman" w:eastAsia="Times New Roman" w:hAnsi="Times New Roman"/>
          <w:sz w:val="18"/>
          <w:szCs w:val="18"/>
          <w:color w:val="auto"/>
        </w:rPr>
        <w:t>”), and (v) directed that this Agreement be submitted to a vote of the Company’s stockholders for purposes of obtaining the Company Stockholder Approval.</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Fairness Opinion. The Company Board has received an opinion (the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from the Company Financial Advisor to the effect that, as of the date of such opinion and based upon and subject to the various assumptions, qualifications and limitations set forth therein, the Per Share Merger Consideration to be received by holders of shares of Company Common Stock in the Merger pursuant to this Agreement is fair, from a financial point of view, to such holders (other than Parent, Merger Sub and their respective affiliates).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Anti-Takeover Laws. Assuming that the representations of Parent and Merger Sub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are true and correct, the Company Board has taken all necessary actions so that no “fair price,” “moratorium,” “control share acquisition,” “significant stockholder,” “interested stockholder” or other anti-takeover Law, including Section 203 of the DGCL (collectively,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or any comparable anti-takeover provisions of the Company Organizational Documents, is applicable to or restricts or prohibits this Agreement, the Merger or any of the other transactions contemplated herein. The Company does not have in effect any “shareholder rights plan,” “poison pill” or similar arrangement that would restrict, prohibit or otherwise affect the consummation of the transactions contemplated herein.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and delivery of this Agreement by the Company, the performance by the Company of its covenants and obligations hereunder, and the consummation of the transactions contemplated herein (a) do not violate or conflict with any provision of (i) the Company Organizational Documents (assuming the accuracy of the representations and warranties in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(ii) the Organizational Documents of any of the Subsidiaries of the Company;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or Governmental Authorization; (c) do not, assuming the Governmental Authorizations referred to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are made and obtained, violate or conflict with any Order or Law applicable to the Company or any of its Subsidiaries or by which any of their respective properties or assets are bound; or (d) will not result in the creation of any Lien (other than Permitted Liens) upon any of the properties or assets of the Company or any of its Subsidiaries,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such violations, conflicts, breaches, defaults, terminations, accelerations or Liens that (A) have not had, and would not reasonably be expected to have, individually or in the aggregate, a Company Material Adverse Effect or prevent, materially delay or materially impair the ability of the Company to consummate the transactions contemplated herein or (B) result from actions contemplated by Section 6.01(c) of the Company Disclosure Letter.</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Requisite Governmental Approvals</w:t>
      </w:r>
      <w:r>
        <w:rPr>
          <w:rFonts w:ascii="Times New Roman" w:cs="Times New Roman" w:eastAsia="Times New Roman" w:hAnsi="Times New Roman"/>
          <w:sz w:val="18"/>
          <w:szCs w:val="18"/>
          <w:color w:val="auto"/>
        </w:rPr>
        <w:t>. No Governmental Authorization is required on the part of the Company in connection with</w:t>
      </w:r>
    </w:p>
    <w:p>
      <w:pPr>
        <w:spacing w:after="0" w:line="9" w:lineRule="exact"/>
        <w:rPr>
          <w:sz w:val="20"/>
          <w:szCs w:val="20"/>
          <w:color w:val="auto"/>
        </w:rPr>
      </w:pPr>
    </w:p>
    <w:p>
      <w:pPr>
        <w:jc w:val="both"/>
        <w:ind w:firstLine="8"/>
        <w:spacing w:after="0" w:line="250" w:lineRule="auto"/>
        <w:tabs>
          <w:tab w:leader="none" w:pos="2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Company; (b) the performance by the Company of its covenants and obligations pursuant to this Agreement; or (c) the consummation of the transactions contemplated herein, except for (i) the filing of the Certificate of Merger with the Secretary of State of the State of Delaware;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any applicable Antitrust Laws, including the HSR Act, or CFIUS; (v) any Government Authorizations that are required to effect the actions contemplated by Section 6.01(c) of the Company Disclosure Letter; and (vi) such other Governmental Authorizations the failure of which to obtain have not had, and would not reasonably be expected to have, individually or in the aggregate, a Company Material Adverse Effect or prevent, materially delay or materially impair the ability of the Company to consummate the transactions contemplated herein.</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Company Capitalization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authorized capital stock of the Company consists of 30,000,000 shares of Company Common Stock. As of 5:00 p.m., New York City time, on January 16, 2026 (such time and date,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(i) 4,094,405 shares of Company Common Stock were issued and outstanding; and (ii) 5,289,515 shares of Company Common Stock were held by the Company as treasury shares. All issued and outstanding shares of Company Common Stock are duly authorized, validly issued, fully paid, nonassessable and free of any preemptive rights. From the Capitalization Date to the date of this Agreement, neither the Company nor any of the Subsidiaries of the Company has (1) issued or granted any Company Securities (other than vesting and settlement of Company Stock Options and Company RSUs granted prior to the Capitalization Date) or (2) established a record date for, declared, set aside for payment or paid any dividend on, or made any other distribution in respect of, any Company Securities.</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As of the Capitalization Date, the Company has reserved 173,392 shares of Company Common Stock for issuance pursuant to the Company Stock Plans. As of the Capitalization Date, there were (i) 130,000 shares of Company Common Stock subject to outstanding Company Stock Options; and (ii) 20,000 shares of Company Common Stock subject to outstanding Company RSUs.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of the Company Disclosure Letter sets forth a complete and correct list of (A) all outstanding Company Stock Options and (B) all outstanding Company RSUs, including, in each case, the number of shares of Company Common Stock underlying such Company Equity Awards, the name of the holder and the grant date. The Company Stock Options and Company RSUs set forth in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of the Company Disclosure Letter constitute all of the equity-based awards of the Company or any of its Subsidiaries outstanding as of the Capitalization Date. All Company Stock Options and Company RSUs may, by their terms or the terms of the Company Stock Plans, be treated in accordance with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All shares of Company Common Stock that may be issued pursuant to the Company Stock Plans will be, when issued in accordance with the respective terms thereof, duly authorized, validly issued, fully paid, nonassessable and free of any preemptive rights.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Except as set forth in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4.06(b)</w:t>
      </w:r>
      <w:r>
        <w:rPr>
          <w:rFonts w:ascii="Times New Roman" w:cs="Times New Roman" w:eastAsia="Times New Roman" w:hAnsi="Times New Roman"/>
          <w:sz w:val="18"/>
          <w:szCs w:val="18"/>
          <w:color w:val="auto"/>
        </w:rPr>
        <w:t xml:space="preserve"> and for changes since the Capitalization Date pursuant to the vesting and settlement of Company Stock Options and Company RSUs granted and outstanding prior to the Capitalization Date, there are (i) no issued and outstanding shares of capital stock of, or other equity or voting interest in, the Company; (ii) no outstanding securities of the Company convertible into or exchangeable or exercisable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or exercisable for shares of capital stock of, or other equity or voting interest in, the Company; (iv) no obligations of the Company to grant, extend or enter into any subscription, warrant, right, convertible, exchangeable or exercisable security, or other similar Contract relating to any capital stock of, or other equity or voting interest (including any voting debt) in, the Company; and (v)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the Company (the items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Stock Plans are the only plans or programs the Company or any of its Subsidiaries sponsors or maintains under which stock options, restricted stock awards, restricted stock units, stock appreciation rights or other equity-based awards or profit participation or similar rights are outstanding.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Other than the Shareholder Voting Agreement, there are no (i) voting trusts, proxies or similar arrangements or understandings to which the Company is a party or by which the Company is bound with respect to the voting of any shares of capital stock of, or other equity or voting interest in, the Company; or (ii) obligations or binding commitments of any character to which the Company is a party or by which it is bound (A) restricting the transfer of any shares of capital stock of, or other equity or voting interest in, the Company or (B)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or other distributions with respect to any outstanding shares of Company Common Stock or other Company Securities.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and assets, except, in each case, as has not had, and would not reasonably be expected to have, individually or in the aggregate, a Company Material Adverse Effect. Each of the Subsidiaries of the Company is duly qualified to do business and is in good standing in each jurisdiction where the character of its properties owned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individually or in the aggregate, a Company Material Adverse Effect.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Section 4.07(b) of the Company Disclosure Letter sets forth each of the Subsidiaries of the Company existing as of the date of this Agreement, the direct owner of each such Subsidiary and the jurisdiction of organization of each such Subsidiary. Each of the Subsidiaries of the Company is wholly owned by the Company, directly or indirectly, free and clear of any Liens (other than Permitted Liens). Each outstanding share, limited liability company interest, partnership interest or other equity interest of each Subsidiary of the Company is duly authorized, validly issued, fully paid and nonassessable (to the extent applicable) and was issued free and clear of preemptive (or similar) rights. The Company does not own, directly or indirectly, any capital stock or other equity or voting interest of, or any other securities convertible or exchangeable into or exercisable for capital stock or other equity or voting interest of, any Person other than the Subsidiaries of the Company. No Subsidiary of the Company owns any Company Securities. Neither the Company nor its Subsidiaries is a party to any Contract pursuant to which it is obligated to make any investment (in the form of a subscription obligation, loan, capital contribution, credit enhancement, capital account funding obligation, assumption of Indebtedness or otherwise) in any Person (other than the Company with respect to its Subsidiaries). There are (i) no outstanding securities of any of the Subsidiaries of the Company convertible into or exchangeable or exercisable for shares of capital stock of, or other equity or voting interest in, any such Subsidiary; (ii) no outstanding options, calls, subscriptions, warrants or other rights or arrangements to acquire from any of the Subsidiaries of the Company, or that obligate any such Subsidiary to issue, any capital stock of, or other equity or voting interest in, or any securities convertible into or exchangeable or exercisable for shares of capital stock of, or other equity or voting interest in, any such Subsidiary; (iii) no obligations of any of the Subsidiaries of the Company to grant, extend or enter into any subscription, warrant, right, convertible, exchangeable or exercisable security, or other similar Contract relating to any capital stock of, or other equity or voting interest (including any voting debt) in, any such Subsidiary; and (iv)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equity or voting interest in, any of the Subsidiaries of the Company (the outstanding shares, limited liability company interests, partnership interests or other equity interests of each Subsidiary of the Company and the items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Subsidiary Securities</w:t>
      </w: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There are no (i) voting trusts, proxies or similar arrangements or understandings to which the Company or any of the Subsidiaries of the Company is a party or by which the Company or any of the Subsidiaries of the Company is bound with respect to the voting of any shares of capital stock of, or other equity or voting interest in, any of the Subsidiaries of the Company; or (ii) obligations or binding commitments of any character to which the Company or any of the Subsidiaries of the Company is a party or by which it is bound (A) restricting the transfer of any shares of capital stock of, or other equity or voting interest in, any of the Subsidiaries of the Company or (B) granting any preemptive rights, anti-dilutive rights or rights of first refusal or other similar rights with respect to any of its Subsidiary Securities.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has made available to Parent a true and complete copy of the Organizational Documents of each Subsidiary of the Company that is a “significant subsidiary” within the meaning of Rule 1.02(w) of Regulation S-X as promulgated by the SEC (each, a “</w:t>
      </w:r>
      <w:r>
        <w:rPr>
          <w:rFonts w:ascii="Times New Roman" w:cs="Times New Roman" w:eastAsia="Times New Roman" w:hAnsi="Times New Roman"/>
          <w:sz w:val="18"/>
          <w:szCs w:val="18"/>
          <w:b w:val="1"/>
          <w:b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each as in effect as of the date of this Agreement. Each such Organizational Document of such Significant Subsidiary is in full force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No Significant Subsidiary is in violation of any of the provisions of its Organizational Documents, except for violations that have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i w:val="1"/>
          <w:iCs w:val="1"/>
          <w:color w:val="auto"/>
        </w:rPr>
        <w:t>Company SEC Documents</w:t>
      </w:r>
      <w:r>
        <w:rPr>
          <w:rFonts w:ascii="Times New Roman" w:cs="Times New Roman" w:eastAsia="Times New Roman" w:hAnsi="Times New Roman"/>
          <w:sz w:val="18"/>
          <w:szCs w:val="18"/>
          <w:color w:val="auto"/>
        </w:rPr>
        <w:t>. Since March 27, 2023, and through the date of this Agreement, the Company has timely filed or furnished, as applicable, all Company SEC Documents with the SEC that have been required to be filed or furnished by it pursuant to Applicable Laws prior to the date of this Agreement. To the extent that any Company SEC Documents available in the Electronic Data Gathering, Analysis, and Retrieval database of the SEC contain redactions pursuant to a request for confidential treatment or otherwise, the Company has made available to Parent the full text of such Company SEC Documents. As of their respective filing or furnishing dates or, if amended or superseded by a subsequent filing or furnishing prior to the date of this Agreement, as of the date of the last such amendment or superseding filing each of the Company SEC Documents complied (and each Company SEC Documents filed after the date of this Agreement will comply) in all material respects with the applicable requirements of the Securities Act, the Exchange Act and the Sarbanes-Oxley Act, and the rules and regulations of the SEC thereunder applicable to such Company SEC Documents, each as in effect on the date that such Company SEC Documents was or will be filed or furnished. As of its filing or furnishing date (or, if amended or superseded by a filing or furnishing prior to the date of this Agreement, on the date of such amended or superseded filing or furnishing), each Company SEC Documents did not contain (and with respect to each Company SEC Document filed after the date of this Agreement, will not contain) any untrue statement of a material fact or omit to state any material fact necessary to make the statements made therein, in light of the circumstances under which they were made, not misleading. No Subsidiary of the Company is required to file any forms, reports or documents with the SEC. As of the date hereof, there are no outstanding or unresolved comments in comment letters from the SEC staff with respect to any of the Company SEC Documents. To the Knowledge of the Company, as of the date hereof, none of the Company SEC Documents is the subject of ongoing SEC review or outstanding SEC investigation. The Company is in compliance in all material respects with (a) all applicable rules and all current listing and corporate governance requirements of NASDAQ and (b) all applicable rules, regulations and requirements of the Sarbanes-Oxley Act and the SEC.</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Company Financial Statements; Internal Controls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(a)             Company Financial Statements. The consolidated financial statements (including any related notes and schedules) of the Company filed with the Company SEC Documents (i) were prepared from, and are in accordance with, the books and records of the Company, (ii) complied in all material respects with the published rules and regulations of the SEC with respect thereto as of their respective dates; (iii) have been prepared in accordance with GAAP applied on a consistent basis during the periods involved (except as may be indicated in the notes thereto or, in the case of interim financial statements, as may be permitted by the SEC for quarterly reports on Form 10-Q), and (iv) fairly present, in all material respects, the consolidated financial position and consolidated results of operations and cash flows of the Company and its consolidated Subsidiaries as of the respective dates thereof for the periods referred to therein, subject, in the case of unaudited interim financial statements, to normal and recurring year-end audit adjustments.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Off Balance Sheet Arrangements. Neither the Company nor any of its Subsidiaries is a party to, or has any commitment to become a party to, any joint venture or off-balance sheet partnership, or any similar Contract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similar “off-balance sheet arrangements”), where the result, purpose, or intended effect of such Contract is to avoid disclosure of any material transaction involving, or material liabilities of, the Company or any of its Subsidiaries in the Company’s or such Subsidiary’s published financial statements or other Company SEC Documents.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Disclosure Controls and Procedures. The Company has designed and maintains a system of “internal control over financial reporting” (as defined pursuant to Rule 13a-15 and Rule 15d-15 promulgated under the Exchange Act) sufficient to provide reasonable assurances regarding the reliability of financial reporting and the preparation of the Company’s financial statements in accordance with GAAP. The Company’s disclosure controls and procedures are reasonably designed and maintained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Since March 27, 2023, through the date of this Agreement, no events, facts or circumstances have occurred such that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March 27, 2023, through the date of this Agreement, the principal executive officer and principal financial officer of the Company have made all certifications required by the Sarbanes-Oxley Act. Neither the Company nor its principal executive officer or principal financial officer has received notice from any Governmental Authority challenging or questioning the accuracy, completeness, form or manner of filing of such certifications as of the date of this Agreement. Since March 27, 2023, through the date of this Agreement, neither the Company nor, to the Knowledge of the Company, the Company’s independent registered public accounting firm has identified or been made aware of (A) any significant deficiencies or material weakness in the system of internal control over financial reporting used by the Company and its Subsidiaries; or (B) any fraud, whether or not material, that involves the Company’s management or other employees who have a role in the preparation of financial statements or the internal control over financial reporting utilized by the Company and its Subsidiaries. Since March 27, 2023, through the date of this Agreement no written complaints from any source regarding a material violation of accounting procedures, internal accounting controls or auditing matters, including from employees of the Company or its Subsidiaries, regarding questionable accounting, auditing or legal compliance matters have been received by the Company.</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No Undisclosed Liabilities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Neither the Company nor any of its Subsidiaries has any liabilities or obligations of any kind, whether or not accrued, contingent or otherwise, except for such liabilities or obligations (i) specifically reflected or reserved against in the Company Balance Sheet included in the Company SEC Documents filed prior to the date hereof; (ii) that were incurred since the date of the Company Balance Sheet in the ordinary course of business consistent with past practice; (iii) arising pursuant to this Agreement or incurred in connection with the negotiation of this Agreement and the transactions contemplated herein; or (iv) that have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Neither the Company nor any of its Subsidiaries has any outstanding Indebtedness for borrowed money, other than any amounts borrowed under the Company Credit Facility.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Absence of Certain Changes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Since March 30, 2025, through the date of this Agreement, except for the negotiation, execution and performance of this Agreement and the transactions contemplated herein, the business of the Company and its Subsidiaries has been conducted, in all material respects, in the ordinary course of business consistent with past practice.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Since March 30, 2025, there has not been any change, event, effect, development, condition, occurrence or circumstance that has had, or would reasonably be expected to have, individually or in the aggregate, a Company Material Adverse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Since March 30, 2025, through the date of this Agreement, there has not been any event, occurrence or action that, if taken after the execution and delivery of this Agreement without Parent’s consent, would constitute a breach of any of the covenants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360" w:hanging="352"/>
        <w:spacing w:after="0"/>
        <w:tabs>
          <w:tab w:leader="none" w:pos="360" w:val="left"/>
        </w:tabs>
        <w:numPr>
          <w:ilvl w:val="0"/>
          <w:numId w:val="1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(solely as it relates to the foregoing clauses)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u w:val="single" w:color="auto"/>
          <w:color w:val="auto"/>
        </w:rPr>
      </w:pPr>
    </w:p>
    <w:p>
      <w:pPr>
        <w:ind w:left="1300"/>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List of Material Contracts. Except as filed as exhibits to the Company SEC Documents,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Company Disclosure Letter contains a true and complete list of all Material Contracts (except for Company Benefit Plans or as set forth on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as in effect as of the date of this Agreement.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Validity. Each Material Contract (other than any Material Contract that has expired in accordance with its terms after the date of this Agreement) is valid and binding on the Company or each Subsidiary of the Company that is a party thereto and, to the Knowledge of the Company, each other party thereto and is in full force and effect, except where the failure to be valid and binding and in full force and effect has not had, and would not reasonably be expected to have, individually or in the aggregate, a Company Material Adverse Effect. The Company and each of its Subsidiaries, and, to the Knowledge of the Company, each other party thereto, has performed all obligations required to be performed by it under each Material Contract, except where the failure to fully perform has not had, and would not reasonably be expected to have, individually or in the aggregate, a Company Material Adverse Effect. No condition exists or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have not had, and would not reasonably be expected to have, individually or in the aggregate, a Company Material Adverse Effect. Since the date of the Company Balance Sheet through the date of this Agreement, none of the Company or any of its Subsidiaries has received written notice of any violation of or default under (or any condition which with the passage of time or the giving of notice would cause such a violation of or default under) or intent to terminate or cancel any Material Contract, except for violations, defaults, terminations or cancellations that have not had, and would not reasonably be expected to have, individually or in the aggregate, a Company Material Adverse Effect.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Real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4.13(a) of the Company Disclosure Letter sets forth a true and complete list of all real property and interests in real property owned in fee simple by the Company or any of its Subsidiaries (the “</w:t>
      </w:r>
      <w:r>
        <w:rPr>
          <w:rFonts w:ascii="Times New Roman" w:cs="Times New Roman" w:eastAsia="Times New Roman" w:hAnsi="Times New Roman"/>
          <w:sz w:val="18"/>
          <w:szCs w:val="18"/>
          <w:b w:val="1"/>
          <w:bCs w:val="1"/>
          <w:color w:val="auto"/>
        </w:rPr>
        <w:t>Owned Real Property</w:t>
      </w:r>
      <w:r>
        <w:rPr>
          <w:rFonts w:ascii="Times New Roman" w:cs="Times New Roman" w:eastAsia="Times New Roman" w:hAnsi="Times New Roman"/>
          <w:sz w:val="18"/>
          <w:szCs w:val="18"/>
          <w:color w:val="auto"/>
        </w:rPr>
        <w:t>”), together with the name of the owner thereof and street address of such real property. Except as has not had, and would not reasonably be expected to have, individually or in the aggregate, a Company Material Adverse Effect, the Company and its Subsidiaries have good, valid and marketable title, in fee simple, free and clear of all Liens other than Permitted Liens, to the Owned Real Property (including the buildings, structures and other improvements thereon and fixtures thereto).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4.13(b) of the Company Disclosure Letter sets forth a true and complete list, as of the date of this Agreement, of each lease, and any material licenses, subleases and occupancy agreements and all other agreements related thereto, including amendments, modifications, guarantees and subordination, non-disturbance and attornment agreements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 with respect to all property leased, licensed, subleased or otherwise used or occupied by the Company or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together with the parties thereto, the effective date of the same and the street address of such real property. Except as has not had, and would not reasonably be expected to have, individually or in the aggregate, a Company Material Adverse Effect, (i) the Company or one of its Subsidiaries has a good and valid leasehold estate in the Leased Real Property, free and clear of all Liens, except for Permitted Liens, and (ii) the Real Property Leases are legal, valid, binding and in full force and effect, subject to the Enforceability Exceptions. Except as has not had, and would not reasonably be expected to have, individually or in the aggregate, a Company Material Adverse Effect, neither the Company nor any of its Subsidiaries has received written notice that it is currently in default under any Real Property Lease and no event or condition has occurred since March 27, 2023, or currently exists, which constitutes or could constitute (with or without notice, the happening of any event and/or the passage of time) a default or breach in any material respect under any Real Property Lease on the part of the Company or its applicable Subsidiary, or, to the Knowledge of the Company, the other party thereto.</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The Company and its Subsidiaries are, and since March 27, 2023, have been, in material compliance with Environmental Laws and Environmental Permits that are applicable to the Company and its Subsidiaries or to the conduct of the business or operations of the Company and its Subsidiaries as presently conducted; (b) since March 27, 2023, to the date of this Agreement, no notice of violation, request for information, demand, consent agreement or order related to any Environmental Law has been received by the Company or any of its Subsidiaries from any Governmental Authority, the substance of which has not been resolved; (c) no Proceeding or claim is pending or, to the Knowledge of the Company, threatened against the Company or any of its Subsidiaries under, or alleging that the Company or any of its Subsidiaries have any liability with respect to, any Environmental Law; (d) to the Knowledge of the Company, there are no Hazardous Substances present at, on or underneath any real property currently or formerly owned or operated by the Company or its Subsidiaries in amount or condition that would reasonably be expected to result in any material liability or any remedial obligation on the part of the Company or any of its Subsidiaries pursuant to any Environmental Law; (e) to the Knowledge of the Company, neither the Company nor any of its Subsidiaries has Released any Hazardous Substance on or under real property currently owned, leased or operated by the Company or any of its Subsidiaries in quantities or concentrations that require remediation by the Company or any of its Subsidiaries pursuant to any Environmental Law, (f) to the Knowledge of the Company, there are no underground storage tanks, underground piping, or disposal areas on, under, at or in any way affecting any real property currently or formerly owned or operated by the Company or its Subsidiaries in noncompliance with Environmental Law or that require remediation pursuant to any Environmental Law; (g) to the Knowledge of the Company, neither the Company nor any of its Subsidiaries has arranged for the disposal or treatment of any Hazardous Substances at any location that has resulted in or that could reasonably be expected to result in any liability or obligation on the part of the Company or any of its Subsidiaries pursuant to any Environmental Law and (h) neither the Company nor any of its Subsidiaries has expressly assumed by Contract, or provided any contractual indemnity to a third party for, any outstanding liability of a third party under Environmental Law.</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4.15(a) of the Company Disclosure Letter sets forth a true and complete list as of the date of this Agreement of all Company Registered Intellectual Property. Since March 27, 2023, the Company has maintained all Company Registered Intellectual Property in the ordinary course consistent with reasonable business practices, except for any such failure to maintain that has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4.15(b) of the Company Disclosure Letter sets forth a true and complete list as of the date of this Agreement of all licenses of Intellectual Property (other than licenses concerning commercially available off-the-shelf software) granted by third parties to the Company or any of its Subsidiaries that are material to the business of the Company and its Subsidiaries, taken as a whole, including agreements concerning the ownership of particular recipes and the ownership and/or manufacture of an ingredient specifically designed for the Company (i.e., ingredients that are not readily commercially available) (“</w:t>
      </w:r>
      <w:r>
        <w:rPr>
          <w:rFonts w:ascii="Times New Roman" w:cs="Times New Roman" w:eastAsia="Times New Roman" w:hAnsi="Times New Roman"/>
          <w:sz w:val="18"/>
          <w:szCs w:val="18"/>
          <w:b w:val="1"/>
          <w:bCs w:val="1"/>
          <w:color w:val="auto"/>
        </w:rPr>
        <w:t>Licensed Intellectual Property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 the Company or one of its Subsidiaries: (i) is the owner of all right, title and interest in and to each item of Company Intellectual Property free and clear of all Liens (other than Permitted Liens) and (ii) is entitled to use and exploit each item of Licensed Intellectual Property, which right, to the Knowledge of the Company, is valid, sufficient and enforceable for the current operation of the business of the Company and its Subsidiaries. All material Company Registered Intellectual Property (other than applications therefor) is unexpired, subsisting and, to the Knowledge of the Company, valid and enforceable in all material respects (except with respect to any registered trademarks which are not in current use). Immediately after the Closing, except as would not reasonably be expected to have, individually or in the aggregate, a Company Material Adverse Effect, all Licensed Intellectual Property and all recipes used by the Company or its Subsidiaries will remain available for use by the Company and its Subsidiaries on the same terms and conditions as in effect immediately prior to the Closing.</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Except as has not had, and would not reasonably be expected to have, individually or in the aggregate, a Company Material Adverse Effect, there are no Proceedings pending or, to the Knowledge of the Company, threatened in writing by any Person against the Company or any of its Subsidiaries alleging infringement, misappropriation or violation by the Company or any of its Subsidiaries of any Intellectual Property of such Person or challenging the ownership, validity or enforceability of any Company Intellectual Property.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Company Material Adverse Effect, (i) the conduct of the business of the Company and its Subsidiaries as currently conducted does not infringe, misappropriate or violate any Intellectual Property of any Person and (ii) to the Knowledge of the Company, as of the date of this Agreement, no Person is infringing, misappropriating or violating any Company Intellectual Property.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Except as has not had, and would not reasonably be expected to have, individually or in the aggregate, a Company Material Adverse Effect, the Company and its Subsidiaries take (and since March 27, 2023, have taken) commercially reasonable actions to protect and enforce the Company Intellectual Property, including such commercially reasonable actions as are necessary to maintain the confidentiality of the material trade secrets forming a part of the Company Intellectual Property. To the Knowledge of the Company, no material trade secrets have been disclosed or authorized to be disclosed to any Person, other than in the ordinary course of business pursuant to an enforceable written confidentiality and non-disclosure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Data Privacy and Security</w:t>
      </w:r>
      <w:r>
        <w:rPr>
          <w:rFonts w:ascii="Times New Roman" w:cs="Times New Roman" w:eastAsia="Times New Roman" w:hAnsi="Times New Roman"/>
          <w:sz w:val="18"/>
          <w:szCs w:val="18"/>
          <w:color w:val="auto"/>
        </w:rPr>
        <w:t>. Except as has not had, and would not reasonably be expected to have, individually or in the aggregate, a Company Material Adverse Effect: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and its Subsidiaries and their respective officers and employees are, and since March 27, 2023, have been, in compliance with all applicable Privacy Commitments. To the Knowledge of the Company, all Personal Information collected, processed, transferred, disclosed, shared, stored, protected or used by the Company or its Subsidiaries, or shared with a third party, in connection with the operation of their respective businesses is, and since March 27, 2023, has been, collected, processed, transferred, disclosed, shared, stored, protected and used by the Company, its Subsidiaries or third parties acting on their behalf in accordance with all applicable Privacy Commitments. No disclosures made in any privacy policies, notices, or statements published by the Company or its Subsidiaries have been inaccurate, misleading or deceptive. The Company has not sold, licensed or rented any Personal Information to a third party for monetary or other valuable consideration. To the Knowledge of the Company, the Company and its Subsidiaries are not, and since March 27, 2023, have not been, (i) under audit or investigation by any Governmental Authority regarding the Company’s compliance with applicable Privacy Commitments or (ii) subject to any third-party notification, claim, demand, audit or action in relation to the Company’s collection, processing, transfer, disclosure, sharing, storing, security and use of Personal Information.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its Subsidiaries (i) have implemented and maintain commercially reasonable technical, physical, and organizational measures intended to protect against and identify anticipated threats or hazards to, the security, confidentiality, integrity and availability of Personal Information, Company Information and Systems, including a commercially reasonable incident response plan and backup procedures, and (ii) have commercially reasonable procedures in place designed to remediate (A) Information Security Incidents and (B) audit or security assessment findings deemed to be a material, critical or high risk to the effectiveness of the foregoing. The Company and its Subsidiaries have fully remediated any and all material, critical or high-risk security vulnerabilities associated with Systems for which the Company or its Subsidiaries have or should reasonably have become aware. To the Knowledge of the Company, there are no vulnerabilities existing in Systems that would reasonably be expected to cause an Information Security Incident.</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To the Knowledge of the Company, since March 27, 2023, the Company and its Subsidiaries have not experienced any Information Security Incident involving the Company or any of its Subsidiaries or third parties that process Company Information on behalf of the Company or its Subsidiaries. To the Knowledge of the Company, since March 27, 2023, no circumstance has arisen in which applicable Privacy Laws would require the Company or its Subsidiaries to notify a person or Governmental Authority of a “breach of security” (or similar term such as “security breach”) as defined by applicable Privacy Laws.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Tax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Each of the Company and its Subsidiaries has timely filed or caused to be timely filed (taking into account valid extensions) all income and other material Tax Returns required to be filed by it and each such Tax Return is true, correct and complete in all material respects. Neither the Company nor any of its Subsidiaries is currently the beneficiary of any extension of time within which to file any material Tax Returns (other than automatic extensions requested in the ordinary course of business).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each of its Subsidiaries has timely paid, or has adequately reserved (in accordance with GAAP) for the payment of, all income and other material Taxes that are required to be paid by it (whether or not shown on any Tax Return).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left="1280"/>
        <w:spacing w:after="0"/>
        <w:rPr>
          <w:sz w:val="20"/>
          <w:szCs w:val="20"/>
          <w:color w:val="auto"/>
        </w:rPr>
      </w:pPr>
      <w:r>
        <w:rPr>
          <w:rFonts w:ascii="Times New Roman" w:cs="Times New Roman" w:eastAsia="Times New Roman" w:hAnsi="Times New Roman"/>
          <w:sz w:val="17"/>
          <w:szCs w:val="17"/>
          <w:color w:val="auto"/>
        </w:rPr>
        <w:t>(c)             All material amounts collected or withheld by the Company or any of its Subsidiaries for the payment of Taxes have been, or will</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 timely remitted to the Taxing Authority to whom such payment is due, and each of the Company and its Subsidiaries has withheld all material Taxes</w:t>
      </w:r>
    </w:p>
    <w:p>
      <w:pPr>
        <w:spacing w:after="0" w:line="9"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color w:val="auto"/>
        </w:rPr>
        <w:t>required to have been withheld by it.</w:t>
      </w:r>
    </w:p>
    <w:p>
      <w:pPr>
        <w:spacing w:after="0" w:line="9" w:lineRule="exact"/>
        <w:rPr>
          <w:sz w:val="20"/>
          <w:szCs w:val="20"/>
          <w:color w:val="auto"/>
        </w:rPr>
      </w:pPr>
    </w:p>
    <w:p>
      <w:pPr>
        <w:jc w:val="center"/>
        <w:ind w:right="8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Neither the Company nor any of its Subsidiaries has executed any waiver, except in connection with any ongoing Tax examination, of any statute of limitations on, or extended the period for the assessment or collection of, any material Tax, in each case that has not since expired, and no requests for any such waivers have been made that are still pending.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Neither the Company nor any of its Subsidiaries has received written notice of any actual or proposed deficiencies or assessments for material Taxes that have not been finally resolved with all amounts due either paid or accrued as a liability in the Company’s most recent balance sheet to the extent required by GAAP.</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No audits or other examinations with respect to Taxes of the Company or any of its Subsidiaries are presently in progress or have been asserted or proposed in writing.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No Liens for material Taxes exist with respect to any assets or properties of the Company or any of its Subsidiaries, except for Liens for current Taxes that are not yet due and payable.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Neither the Company nor any of its Subsidiaries will be required to include any item of income or gain in, or exclude any item of deduction, loss or other Tax benefit from, taxable income for any taxable period (or portion thereof) beginning after the Closing Date, as a result of any (i) change in method of accounting pursuant to Section 481 of the Code (or any similar provision of state, local or non-United States Law) for a taxable period ending on or prior to the Closing Date, (ii) closing agreement as described in Section 7121 of the Code (or any similar provision of state, local or non-United States Law) entered into prior to the Closing Date, or (iii) intercompany transaction, installment sale or open transaction made on or prior to the Closing Date.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Neither the Company nor any of its Subsidiaries (A) is a party to or bound by, or currently has any material liability pursuant to, any Tax sharing, allocation or indemnification agreement, other than any such agreement (1) solely between or among the Company and its Subsidiaries or</w:t>
      </w:r>
    </w:p>
    <w:p>
      <w:pPr>
        <w:spacing w:after="0" w:line="1" w:lineRule="exact"/>
        <w:rPr>
          <w:sz w:val="20"/>
          <w:szCs w:val="20"/>
          <w:color w:val="auto"/>
        </w:rPr>
      </w:pPr>
    </w:p>
    <w:p>
      <w:pPr>
        <w:ind w:firstLine="8"/>
        <w:spacing w:after="0" w:line="250" w:lineRule="auto"/>
        <w:tabs>
          <w:tab w:leader="none" w:pos="2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in the ordinary course of business the primary purpose of which is unrelated to Taxes; or (B) has any liability for the Taxes of any Person, other than the Company and its Subsidiaries, pursuant to Treasury Regulation § 1.1502-6 (or any similar provision of state, local or non-U.S. Law).</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Neither the Company nor any of its Subsidiaries has participated in a “listed transaction” as set forth in Treasury Regulation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1.6011-4(b)(2).</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             The Company is not, and has not been during the prior five (5) years, a “United States real property holding corporation” within the meaning of Section 897(c) of the Code.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Each of the Company and each of its Subsidiaries is in material compliance with all applicable escheatment, unclaimed property or abandoned property Laws.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Neither the Company nor any of its Subsidiaries has made any election to defer the payment of the employer’s share of any “applicable employment taxes” pursuant to the CARES Act that are currently outstanding.</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4.18(a) of the Company Disclosure Letter sets forth a true and complete list, as of the date of this Agreement, of all material Company Benefit Plans. The Company has made available to Parent and Merger Sub true and complete copies (to the extent applicable) of: (i) each material Company Benefit Plan current plan document and any amendments thereto (or, in the case of any such Company Benefit Plan that is unwritten, a description thereof); (ii) the most recent annual report on Form 5500 required to be filed with the IRS with respect to each material Company Benefit Plan; (iii) if any Company Benefit Plan is funded, the most recent financial statements required to be prepared under Applicable Law; (iv) the current summary plan description, summaries of material modifications, and summaries of benefits and coverage for each material Company Benefit Plan;</w:t>
      </w:r>
    </w:p>
    <w:p>
      <w:pPr>
        <w:spacing w:after="0" w:line="2" w:lineRule="exact"/>
        <w:rPr>
          <w:sz w:val="20"/>
          <w:szCs w:val="20"/>
          <w:color w:val="auto"/>
        </w:rPr>
      </w:pPr>
    </w:p>
    <w:p>
      <w:pPr>
        <w:jc w:val="both"/>
        <w:ind w:firstLine="8"/>
        <w:spacing w:after="0" w:line="250"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administrative service agreement, trust agreement and insurance or group annuity contract or other funding arrangement relating to any material Company Benefit Plan; (vi) the most recent IRS determination letter (or opinion or advisory letter upon which the Company is entitled to rely);</w:t>
      </w:r>
    </w:p>
    <w:p>
      <w:pPr>
        <w:jc w:val="both"/>
        <w:ind w:firstLine="8"/>
        <w:spacing w:after="0" w:line="250" w:lineRule="auto"/>
        <w:tabs>
          <w:tab w:leader="none" w:pos="3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most recent reports on Form 1094-C and 1095-C filed with the IRS and furnished to employees; (viii) all material non-routine correspondence to or from any Governmental Authority received in the last three (3) years with respect to any material Company Benefit Plan; and (ix) the most recently completed discrimination tests for each Company Benefit Plan for which such test is required.</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Except as set forth on </w:t>
      </w: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Company Disclosure Letter, neither the Company nor any of its Subsidiaries maintains, sponsors or participates in, contributes to, or is required to contribute to or has any liability with respect to (including on account of an ERISA Affiliate): (i) a “multiemployer plan” (as defined in Section 4001(a)(3) of ERISA) (a “</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(ii) a “multiple employer plan” (as defined in Section 4063 or Section 4064 of ERISA); (iii) a “multiple employer welfare arrangement” (as defined in Section 3(40) of ERISA); or (iv) a plan covered by Section 412 of the Code or Title IV of ERISA.</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Each Company Benefit Plan has been established, maintained, funded, operated and administered in all material respects in accordance with its terms and with all Applicable Law, including the applicable provisions of ERISA, the Code and any applicable regulatory guidance issued by any Governmental Authority. Each Company Benefit Plan that is intended to be a “qualified plan” within the meaning of Section 401(a) of the Code and each trust intended to qualify under Section 501(a) of the Code has received a favorable determination letter, or may rely on a favorable opinion letter, as to its qualified status issued by the U.S. Internal Revenue Service, and, to the Knowledge of the Company, no event, condition or circumstance has occurred or is likely to occur that would reasonably be expected to adversely affect the qualified status of any such Company Benefit Plan. All contributions, premiums and benefit payments under or in connection with the Company Benefit Plans that are required to have been made in accordance with the terms of the Company Benefit Plans have been timely made.</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Except as has not had, and would not reasonably be expected to have, individually or in the aggregate, a Company Material Adverse Effect, there are no Proceedings, examinations or audits pending or, to the Knowledge of the Company, as of the date of this Agreement, threatened on behalf of or against any Company Benefit Plan, the assets of any trust pursuant to any Company Benefit Plan, or the plan sponsor, plan administrator or any fiduciary or any Company Benefit Plan with respect to the administration or operation of such plans, other than routine claims for benefits.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None of the Company, any of its Subsidiaries, or, to the Knowledge of the Company, any of their respective directors, officers, employees or agents has, with respect to any Company Benefit Plan, engaged in or been a party to any non-exempt “prohibited transaction” (as defined in Section 4975 of the Code or Sections 406 and 407 of ERISA) that would reasonably be expected to result in the imposition of a material Tax or material penalty.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No Company Benefit Plan that is a “welfare benefit plan” (as defined in Section 3(1) of ERISA) provides material post-termination or retiree life insurance or health benefits to any person, except as may be required by Section 4980B of the Code or any similar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Except as set forth on </w:t>
      </w:r>
      <w:r>
        <w:rPr>
          <w:rFonts w:ascii="Times New Roman" w:cs="Times New Roman" w:eastAsia="Times New Roman" w:hAnsi="Times New Roman"/>
          <w:sz w:val="18"/>
          <w:szCs w:val="18"/>
          <w:u w:val="single" w:color="auto"/>
          <w:color w:val="auto"/>
        </w:rPr>
        <w:t>Section 4.18(g)</w:t>
      </w:r>
      <w:r>
        <w:rPr>
          <w:rFonts w:ascii="Times New Roman" w:cs="Times New Roman" w:eastAsia="Times New Roman" w:hAnsi="Times New Roman"/>
          <w:sz w:val="18"/>
          <w:szCs w:val="18"/>
          <w:color w:val="auto"/>
        </w:rPr>
        <w:t xml:space="preserve"> of the Company Disclosure Letter, none of the execution and delivery of this Agreement or the consummation of Merger or the transactions contemplated herein, either alone or in combination with another event, shall (i) entitle any current or former employee, officer, or director of the Company to any material compensation or benefit; (ii) accelerate the time of payment or vesting, trigger any payment or funding, or materially increase the amount of any compensation or benefits payable to any employee, officer, or director of the Company; (iii) result in any payment or benefit that could reasonably be expected to constitute a parachute payment within the meaning of Section 280G of the Code or require the Company or its Subsidiaries to make any “gross up” or similar payment in connection therewith; (iv) directly or indirectly cause the Company or any of its Subsidiaries to transfer or set aside any assets to fund any material benefits under any Company Benefit Plan; or (v) limit or restrict the right to merge, materially amend, terminate or transfer the assets of any Company Benefit Plan at or following the Effective Time. Neither the Company nor any of its Subsidiaries is obligated to pay a Tax gross-up or Tax reimbursement payment to any current or former employee, director, or other service provider of the Company or any of its Subsidiaries.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No event has occurred, and no conditions or circumstance exists, that would reasonably be expected to subject the Company, any of its Subsidiaries or an Company Benefit Plan to material penalties, material excise taxes or material assessments under Sections 4980B, 4980D or 4980H of the Code or any provision of the Patient Protection and the Affordable Care Act, Pub. L. No. 111-148, the Health Care and Education Reconciliation Act of 2010, Pub. L. No. 111-152 (and the regulations and other guidance issued thereunder).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(i)              Each Company Benefit Plan that is subject to Section 409A of the Code has been written, executed, and operated in compliance in all material respects in form and operation with the requirements of Section 409A of the Code and the regulations and other guidance thereunder.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Franchise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 sets forth a complete and correct list of all franchise agreements, license agreements, subfranchise agreements, sublicense agreements, master franchise agreements, development agreements, market development agreements, and reserved area agreements (in each case, other than agreements to operate Ghost Kitchens that result in payments of less than $10,000 per annum to the Company and its Subsidiaries and are not otherwise material to the business of the Company and its Subsidiaries taken as a whole) that are effective as of December 28, 2025, to which the Company or any of its Subsidiaries is a party or by which the Company or any of its Subsidiaries or its or their properties is bound (other than any such agreements between a person and its Subsidiaries or among its Subsidiaries) and that grant or purport to grant to a person (each, a “</w:t>
      </w:r>
      <w:r>
        <w:rPr>
          <w:rFonts w:ascii="Times New Roman" w:cs="Times New Roman" w:eastAsia="Times New Roman" w:hAnsi="Times New Roman"/>
          <w:sz w:val="18"/>
          <w:szCs w:val="18"/>
          <w:b w:val="1"/>
          <w:bCs w:val="1"/>
          <w:color w:val="auto"/>
        </w:rPr>
        <w:t>Company Franchisee</w:t>
      </w:r>
      <w:r>
        <w:rPr>
          <w:rFonts w:ascii="Times New Roman" w:cs="Times New Roman" w:eastAsia="Times New Roman" w:hAnsi="Times New Roman"/>
          <w:sz w:val="18"/>
          <w:szCs w:val="18"/>
          <w:color w:val="auto"/>
        </w:rPr>
        <w:t>”) the right to operate or license others to operate or to develop within a specific geographic area or at a specific location “Nathan’s” and/or “Nathan’s Famous” restaurants (each such restaurant, a “</w:t>
      </w:r>
      <w:r>
        <w:rPr>
          <w:rFonts w:ascii="Times New Roman" w:cs="Times New Roman" w:eastAsia="Times New Roman" w:hAnsi="Times New Roman"/>
          <w:sz w:val="18"/>
          <w:szCs w:val="18"/>
          <w:b w:val="1"/>
          <w:bCs w:val="1"/>
          <w:color w:val="auto"/>
        </w:rPr>
        <w:t>Company Franchise</w:t>
      </w:r>
      <w:r>
        <w:rPr>
          <w:rFonts w:ascii="Times New Roman" w:cs="Times New Roman" w:eastAsia="Times New Roman" w:hAnsi="Times New Roman"/>
          <w:sz w:val="18"/>
          <w:szCs w:val="18"/>
          <w:color w:val="auto"/>
        </w:rPr>
        <w:t>”, and each such agreement a “</w:t>
      </w:r>
      <w:r>
        <w:rPr>
          <w:rFonts w:ascii="Times New Roman" w:cs="Times New Roman" w:eastAsia="Times New Roman" w:hAnsi="Times New Roman"/>
          <w:sz w:val="18"/>
          <w:szCs w:val="18"/>
          <w:b w:val="1"/>
          <w:bCs w:val="1"/>
          <w:color w:val="auto"/>
        </w:rPr>
        <w:t>Company Franchise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Company Franchise Agreements</w:t>
      </w:r>
      <w:r>
        <w:rPr>
          <w:rFonts w:ascii="Times New Roman" w:cs="Times New Roman" w:eastAsia="Times New Roman" w:hAnsi="Times New Roman"/>
          <w:sz w:val="18"/>
          <w:szCs w:val="18"/>
          <w:color w:val="auto"/>
        </w:rPr>
        <w:t>”). For the avoidance of doubt, the terms Company Franchise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Franchise include any area development agreements, area license or franchise agreements, master franchise agreements, area representative agreements and similar agreements with Persons that cover the development, franchising, or licensing of franchises of “Nathan’s” and/or “Nathan’s Famous” restaurants. The Company has made available to Parent a true, correct and complete copy of each such Company Franchise Agreement and any written amendments, addenda or agreements related thereto.  The location of each Ghost Kitchen as of December 28, 2025, is set forth in </w:t>
      </w: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Except as set forth in </w:t>
      </w: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Company Disclosure Letter, the Company Franchise Agreements do not contain provisions that expressly: (i) grant the Company Franchisee the right to develop additional Company Franchises without the payment of additional initial franchise fees, other than in connection with incentive programs generally being offered by the Company or its Affiliates to new and/or existing franchisee at the time of the sale of such franchise; (ii) restrict the Company or any of its Affiliates from receiving and/or retaining payments, rebates or allowances from suppliers in connection with any Company Franchisee’s purchases from suppliers; and (iii) grant any rights of first offer, right of first refusal, or other options providing exclusive or protected rights relating to the development or operation of Company Franchises in areas that are in addition to the geographic areas designated as the unit territory or development area granted under such executed Company Franchise Agreement, excluding any rights of first offer, right of first refusal, or other options that have expired by their own terms.</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Section 4.19(c)</w:t>
      </w:r>
      <w:r>
        <w:rPr>
          <w:rFonts w:ascii="Times New Roman" w:cs="Times New Roman" w:eastAsia="Times New Roman" w:hAnsi="Times New Roman"/>
          <w:sz w:val="18"/>
          <w:szCs w:val="18"/>
          <w:color w:val="auto"/>
        </w:rPr>
        <w:t xml:space="preserve"> of the Company Disclosure Letter sets forth a true and complete list of all Company Franchisees, together with the total royalties paid by each such Company Franchisee to the Company or any of its Subsidiaries during the 2025 fiscal year. Except as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4.19(c)</w:t>
      </w:r>
      <w:r>
        <w:rPr>
          <w:rFonts w:ascii="Times New Roman" w:cs="Times New Roman" w:eastAsia="Times New Roman" w:hAnsi="Times New Roman"/>
          <w:sz w:val="18"/>
          <w:szCs w:val="18"/>
          <w:color w:val="auto"/>
        </w:rPr>
        <w:t xml:space="preserve"> of the Company Disclosure Letter, to the Knowledge of the Company, as of the date of this Agreement: (i) no such Company Franchisee is currently involved as a debtor in any bankruptcy proceedings; and (ii) the Company has not received written notice of any Company Franchisee’s intentions or plans to close, cease to operate, leave or abandon, or sell its Company Franchises, or terminate or not renew Company Franchise Agreements (except as would not be material to the business of the Company and its Subsidiaries taken as a whole).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Each of the Company Franchise Agreements is to the Knowledge of the Company valid and binding on the Company or the Subsidiary of the Company party thereto and each other party thereto, is in full force and effect, and complies in all material respects with all Applicable Laws, subject to the Enforceability Exceptions. Except as set forth in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Company Disclosure Letter, neither the Company nor any of its Subsidiaries has received any written notice of any material default or event that with or without notice or lapse of time, or both, would constitute a material default by the Company and its Subsidiaries under any Company Franchise Agreement, and there is no Legal Proceeding, examination or audit pending against (or to the Knowledge of the Company, threatened in writing against or naming as a party thereto), the Company or any of its Subsidiaries by any Company Franchisees alleging material defaults of any Company Franchise Agreement or violations of the Franchise Laws. Except as set forth in </w:t>
      </w:r>
      <w:r>
        <w:rPr>
          <w:rFonts w:ascii="Times New Roman" w:cs="Times New Roman" w:eastAsia="Times New Roman" w:hAnsi="Times New Roman"/>
          <w:sz w:val="18"/>
          <w:szCs w:val="18"/>
          <w:u w:val="single" w:color="auto"/>
          <w:color w:val="auto"/>
        </w:rPr>
        <w:t>Section 4.19(d)</w:t>
      </w:r>
      <w:r>
        <w:rPr>
          <w:rFonts w:ascii="Times New Roman" w:cs="Times New Roman" w:eastAsia="Times New Roman" w:hAnsi="Times New Roman"/>
          <w:sz w:val="18"/>
          <w:szCs w:val="18"/>
          <w:color w:val="auto"/>
        </w:rPr>
        <w:t xml:space="preserve"> of the Company Disclosure Letter, neither the Company nor any of its Subsidiaries of the Company has (i) provided any Company Franchisee with a notice of default under any Company Franchise Agreement which has not been cured in accordance with the applicable Company Franchise Agreement or otherwise resolved (whether by termination of the applicable Company Franchise Agreement, settlement or otherwise) or (ii) provided waivers of any material default by Company Franchisees under any Company Franchise Agreement (except as would not be material to the business of the Company and its Subsidiaries taken as a whole).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Section 4.19(e) of the Company Disclosure Letter sets forth: (i) a list of all Company FDDs that the Company or any of its Subsidiaries have used to offer or sell Company Franchises within the United States at any time since March 27, 2023 (the “</w:t>
      </w:r>
      <w:r>
        <w:rPr>
          <w:rFonts w:ascii="Times New Roman" w:cs="Times New Roman" w:eastAsia="Times New Roman" w:hAnsi="Times New Roman"/>
          <w:sz w:val="18"/>
          <w:szCs w:val="18"/>
          <w:b w:val="1"/>
          <w:bCs w:val="1"/>
          <w:color w:val="auto"/>
        </w:rPr>
        <w:t>Franchise Schedule Period</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0" w:lineRule="auto"/>
        <w:tabs>
          <w:tab w:leader="none" w:pos="27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jurisdictions in the United States in which the Company has currently effective registrations and exemptions under Franchise Laws or has had an effective registration or exemption during the Franchise Schedule Period; and (iii) the effective date and expiration date of each such current and past registration or exemption. The Company has made available to Parent and Merger Sub true and complete copies of: (A) each such Company FDD; and</w:t>
      </w:r>
    </w:p>
    <w:p>
      <w:pPr>
        <w:spacing w:after="0" w:line="1"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copies of the listed franchise registrations, notices of exemption, and any orders, decrees issued to, from, or by any state authority under any United States Franchise Laws during the Franchise Schedule Period.</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Since the beginning of the Franchise Schedule Period, to the Knowledge of the Company, all offers and sales of Company Franchises by the Company or any of its Subsidiaries have been made in material compliance with all applicable Franchise Laws in effect at the time of such offer or sale. Since the beginning of the Franchise Schedule Period, to the Knowledge of the Company, all Company FDDs that the Company or any of its Subsidiaries have used to offer and sell Franchises have contained in all material respects the information required by Franchise Laws and have otherwise been prepared and delivered to prospective Company Franchisees in compliance with applicable Franchise Laws in all material respects. To the Knowledge of the Company, since the beginning of the Franchise Schedule Period, none of the Company or any of its Subsidiaries have, in any Company FDD or in any franchise-related registration, application or filing with any Governmental Authority made any untrue statement of a material fact or omitted to state a material fact required to be stated therein or necessary in order to make the statements made therein, in light of the circumstances under which they were made, not misleading.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(g)            Neither the Company nor any of its Subsidiaries is subject to any Order that would prohibit or restrict the offer or sale of Company Franchises in any jurisdiction, nor has the Company or any of its Subsidiaries received any written notice from any Governmental Authority indicating that such stop orders or other Legal Proceedings are or may be threatened.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To the Knowledge of the Company, all funds paid to the Company or any of its Subsidiaries by or on behalf of one or more Company Franchises at any time since the beginning of the Franchise Schedule Period for advertising and promotion have been administered in accordance in all material respects with the applicable Company Franchise Agreements and as described in the Company FDDs under which those Company Franchise Agreements were issued. To the Knowledge of the Company, since the beginning of the Franchise Schedule Period, all rebates and other payments made by suppliers and other third parties to the Company or any of its Subsidiaries on account of Company Franchisees’ purchases from those suppliers and third parties or for purposes of doing business with those Company Franchisees, have been administered and spent in accordance in all material respects with the applicable Company Franchise Agreements, Applicable Laws, any applicable Contracts between those suppliers or third parties and the Company or any of its Subsidiaries, and as described in the Company FDDs under which the applicable Company Franchise Agreements were issued.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The Company has made available to the Parent and Merger Sub true and complete copies of a material sample of all advertising and promotional materials used by the Company or its Subsidiaries during the Franchise Schedule Period to market Company Franchises.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(j)              Except as set forth on </w:t>
      </w:r>
      <w:r>
        <w:rPr>
          <w:rFonts w:ascii="Times New Roman" w:cs="Times New Roman" w:eastAsia="Times New Roman" w:hAnsi="Times New Roman"/>
          <w:sz w:val="18"/>
          <w:szCs w:val="18"/>
          <w:u w:val="single" w:color="auto"/>
          <w:color w:val="auto"/>
        </w:rPr>
        <w:t>Section 4.19(j)</w:t>
      </w:r>
      <w:r>
        <w:rPr>
          <w:rFonts w:ascii="Times New Roman" w:cs="Times New Roman" w:eastAsia="Times New Roman" w:hAnsi="Times New Roman"/>
          <w:sz w:val="18"/>
          <w:szCs w:val="18"/>
          <w:color w:val="auto"/>
        </w:rPr>
        <w:t xml:space="preserve"> of the Company Disclosure Letter, during the Franchise Schedule Period, the Company and its Subsidiaries have not contracted with or used any independent sales representatives, brokers, consultants, franchise referral networks, or other third parties in connection with the offer or sale of Company Franchises. During the Franchise Schedule Period, the Company has, to the extent applicable, filed all broker and sales agent registrations on a timely basis as required by Franchise Laws during periods in which Company Franchises were offered or sold by such third parties on behalf of the Company in the applicable jurisdiction.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(k)             Except as set forth on </w:t>
      </w:r>
      <w:r>
        <w:rPr>
          <w:rFonts w:ascii="Times New Roman" w:cs="Times New Roman" w:eastAsia="Times New Roman" w:hAnsi="Times New Roman"/>
          <w:sz w:val="18"/>
          <w:szCs w:val="18"/>
          <w:u w:val="single" w:color="auto"/>
          <w:color w:val="auto"/>
        </w:rPr>
        <w:t>Section 4.19(k)</w:t>
      </w:r>
      <w:r>
        <w:rPr>
          <w:rFonts w:ascii="Times New Roman" w:cs="Times New Roman" w:eastAsia="Times New Roman" w:hAnsi="Times New Roman"/>
          <w:sz w:val="18"/>
          <w:szCs w:val="18"/>
          <w:color w:val="auto"/>
        </w:rPr>
        <w:t xml:space="preserve"> of the Company Disclosure Letter, the Company has not organized, sponsored, or given formal recognition to any franchisee advisory council, independent franchisee association, or other organization purporting to represent the interests of Company Franchisees. To the Knowledge of the Company, no independent association or franchisee organization exists which holds itself out as a representative of the Company Franchisees.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(l)             Except as set forth on </w:t>
      </w:r>
      <w:r>
        <w:rPr>
          <w:rFonts w:ascii="Times New Roman" w:cs="Times New Roman" w:eastAsia="Times New Roman" w:hAnsi="Times New Roman"/>
          <w:sz w:val="18"/>
          <w:szCs w:val="18"/>
          <w:u w:val="single" w:color="auto"/>
          <w:color w:val="auto"/>
        </w:rPr>
        <w:t>Section 4.19(l)</w:t>
      </w:r>
      <w:r>
        <w:rPr>
          <w:rFonts w:ascii="Times New Roman" w:cs="Times New Roman" w:eastAsia="Times New Roman" w:hAnsi="Times New Roman"/>
          <w:sz w:val="18"/>
          <w:szCs w:val="18"/>
          <w:color w:val="auto"/>
        </w:rPr>
        <w:t xml:space="preserve"> of the Company Disclosure Letter, in connection with all terminations, non-renewals, or requested and/or completed transfers of Company Franchise Agreements since the beginning of the Franchise Schedule Period, the Company and any of its Subsidiaries has complied in all material respects with all applicable Relationship Laws and the requirements of the applicable Company Franchise Agreements.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Labor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as set forth on </w:t>
      </w:r>
      <w:r>
        <w:rPr>
          <w:rFonts w:ascii="Times New Roman" w:cs="Times New Roman" w:eastAsia="Times New Roman" w:hAnsi="Times New Roman"/>
          <w:sz w:val="18"/>
          <w:szCs w:val="18"/>
          <w:u w:val="single" w:color="auto"/>
          <w:color w:val="auto"/>
        </w:rPr>
        <w:t>Section 4.20(a)</w:t>
      </w:r>
      <w:r>
        <w:rPr>
          <w:rFonts w:ascii="Times New Roman" w:cs="Times New Roman" w:eastAsia="Times New Roman" w:hAnsi="Times New Roman"/>
          <w:sz w:val="18"/>
          <w:szCs w:val="18"/>
          <w:color w:val="auto"/>
        </w:rPr>
        <w:t xml:space="preserve"> of the Company Disclosure Letter, as of the date of this Agreement, neither the Company nor any of its Subsidiaries is a party to any written collective bargaining agreement, labor union Contracts or trade union agreements with any labor union, works council or labor organization. To the Knowledge of the Company, as of the date of this Agreement, there are no activities or proceedings of any labor union to organize any employees of the Company or any of its Subsidiaries with regard to their employment with the Company or any of its Subsidiaries. As of the date of this Agreement, there is no strike, lockout, concerted work slowdown, or concerted work stoppage against the Company or any of its Subsidiaries pending or, to the Knowledge of the Company, threatened in writing directly against the Company or any of its Subsidiaries, except where such strike, lockout, slowdown or work stoppage has not had, and would not reasonably be expected to have, individually or in the aggregate, a Company Material Adverse Effect. To the Knowledge of the Company, there are no labor organizational or decertification activities underway or threatened by, or on behalf of, or against any labor union, works council or labor organization with respect to employees of the Company or any of its Subsidiaries, and no such activities have occurred within the past two (2) years.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and its Subsidiaries are in compliance with Applicable Laws with respect to the employment of their employees, including employee wage and hour requirements, employee immigration status (including with respect to their employees’ lawful right to work in the United States and retaining Forms I-9 of their applicable employees), discrimination in employment, employee health and safety, and collective bargaining, except for such noncompliance that has not had, and would not reasonably be expected to have, individually or in the aggregate, a Company Material Adverse Effect. Neither the Company nor any of its Subsidiaries have taken any action that would result in any material liability under the WARN Act during the three-year period prior to the date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Since March 27, 2023, there have been no Proceedings pending or (to the Knowledge of the Company) threatened against the Company or any of its Subsidiaries related to any allegations of sexual or racial harassment or discrimination or unlawful retaliation by any employee of the Company or its Subsidiaries. Since March 27, 2023, there have been no investigations by or reports made to the Company’s audit committee related to any allegations of sexual or racial harassment or discrimination or unlawful retaliation by any employee of the Company or its Subsidiaries. To the Knowledge of the Company, there are no allegations of, and no investigations by Third Parties pending or threatened relating to allegations of, sexual or racial harassment or discrimination or unlawful retaliation by any executive officer of the Company. To the Knowledge of the Company, there are no allegations of, and no investigations by Third Parties pending or threatened relating to allegations of, sexual or racial harassment or discrimination or unlawful retaliation by any employee of the Company or any of its Subsidiaries that would be material to the business of the Company and its Subsidiaries, taken as a whole.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Except as set forth on </w:t>
      </w:r>
      <w:r>
        <w:rPr>
          <w:rFonts w:ascii="Times New Roman" w:cs="Times New Roman" w:eastAsia="Times New Roman" w:hAnsi="Times New Roman"/>
          <w:sz w:val="18"/>
          <w:szCs w:val="18"/>
          <w:u w:val="single" w:color="auto"/>
          <w:color w:val="auto"/>
        </w:rPr>
        <w:t>Section 4.20(d)</w:t>
      </w:r>
      <w:r>
        <w:rPr>
          <w:rFonts w:ascii="Times New Roman" w:cs="Times New Roman" w:eastAsia="Times New Roman" w:hAnsi="Times New Roman"/>
          <w:sz w:val="18"/>
          <w:szCs w:val="18"/>
          <w:color w:val="auto"/>
        </w:rPr>
        <w:t xml:space="preserve"> of the Company Disclosure Letter, neither the Company nor any of its Subsidiaries has, within the forty-five (45) days prior to the date hereof, increased the compensation, bonus, severance, retention or termination pay payable or that could become payable to any employees of the Company or any of its Subsidiaries, in each case, other than any such increase required by Applicable Law or made in the ordinary course of business consistent with past practice.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The Company and each of its Subsidiaries are, and since March 27, 2023, have been, in compliance with all Applicable Laws, except for such noncompliance that has not had, and would not reasonably be expected to have, individually or in the aggregate, a Company Material Adverse Effect. As of the date of this Agreement and since March 27, 2023, no written notice, charge or assertion has been received by the Company or, to the Knowledge of the Company, threatened in writing against the Company or any of its Subsidiaries alleging any violation of any Applicable Laws other than as has not had, and would not reasonably be expected to have, individually or in the aggregate, a Company Material Adverse Effect.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(i) the Company and its Subsidiaries have all Governmental Authorizations necessary for the ownership and operation of their business as presently conducted, and each such Governmental Authorization is in full force and effect; (ii) the Company and its Subsidiaries are, and since March 27, 2023, have been, in compliance with the terms of all Governmental Authorizations necessary for the ownership and operation of its businesses; and (iii) since March 27, 2023, neither the Company nor any of its Subsidiaries has received written notice from any Governmental Authority alleging any conflict with or breach of any such Governmental Authorization, the substance of which has not been resolved.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i w:val="1"/>
          <w:iCs w:val="1"/>
          <w:color w:val="auto"/>
        </w:rPr>
        <w:t>Proceedings; Orders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has not had, and would not reasonably be expected to have, individually or in the aggregate, a Company Material Adverse Effect and other than any Transaction Litigation brought after the date of this Agreement, there are no Proceedings pending or, to the Knowledge of the Company, threatened in writing, or, to the Knowledge of the Company, any investigations, examinations or audits pending against the Company or any of its Subsidiaries, or any of their respective properties or assets, or any of their respective officers or directors (in their capacity as officers or directors of the Company or any of its Subsidiaries).</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Except as has not had, and would not reasonably be expected to have, individually or in the aggregate, a Company Material Adverse Effect, neither the Company nor any of its Subsidiaries is subject to any Order that is in effect.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xml:space="preserve">. The Company and its Subsidiaries have all material policies of insurance covering the Company and its Subsidiaries and any of their respective employees, properties or assets, including policies of life, property, fire, workers’ compensation, cybersecurity, products liability, directors’ and officers’ liability, fiduciary and other casualty and liability insurance (but excluding any insurance policies underlying an Company Benefit Plan), that is customarily carried by Persons conducting business similar to that of the Company and its Subsidiaries, a true and complete list of which, as of the date of this Agreement, is set forth on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Company Disclosure Letter. Except as has not had, and would not reasonably be expected to have, individually or in the aggregate, a Company Material Adverse Effect, (a) the insurance policies maintained by the Company or any of its Subsidiaries are in full force and effect, (b) all premiums due and payable thereon have been paid (other than retroactive or retrospective premium adjustments that are not yet due but may be required to be paid with respect to a period ending prior to the Effective Time), (c) no written notice of cancellation or termination has been received or, to the Knowledge of the Company, threatened with respect to any such policy other than ordinary renewals, (d) neither the Company nor any of its Subsidiaries is in breach of, or default under, any such insurance policy, and (e) neither the Company nor any of its Subsidiaries has taken any action or failed to take any action which, with notice or the lapse of time or both, would constitute a breach or default, or permit termination or modification, of any of such insurance policies.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i w:val="1"/>
          <w:iCs w:val="1"/>
          <w:color w:val="auto"/>
        </w:rPr>
        <w:t>Anti-Corruption Compliance</w:t>
      </w:r>
      <w:r>
        <w:rPr>
          <w:rFonts w:ascii="Times New Roman" w:cs="Times New Roman" w:eastAsia="Times New Roman" w:hAnsi="Times New Roman"/>
          <w:sz w:val="18"/>
          <w:szCs w:val="18"/>
          <w:color w:val="auto"/>
        </w:rPr>
        <w:t>. Except as would not be material to the Company and its Subsidiaries, taken as a whole, none of the Company, any of its Subsidiaries, or, to the Knowledge of the Company, any officer, director, employee or agent of the Company or any of its Subsidiaries has (in each case acting on behalf of the Company or its Subsidiaries), since March 27, 2023, directly or knowingly indirectly, taken any action that would cause any of the foregoing to be in material violation of any provision of the FCPA or any other applicable anti-bribery, anti-corruption and anti-money laundering Laws of any jurisdiction in which the Company or any of its Subsidiaries operate or in which any agent thereof is conducting or has conducted business on behalf of the Company or any of its Subsidiaries (collectively, the “</w:t>
      </w:r>
      <w:r>
        <w:rPr>
          <w:rFonts w:ascii="Times New Roman" w:cs="Times New Roman" w:eastAsia="Times New Roman" w:hAnsi="Times New Roman"/>
          <w:sz w:val="18"/>
          <w:szCs w:val="18"/>
          <w:b w:val="1"/>
          <w:bCs w:val="1"/>
          <w:color w:val="auto"/>
        </w:rPr>
        <w:t>Other Anti-Bribery Laws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i w:val="1"/>
          <w:iCs w:val="1"/>
          <w:color w:val="auto"/>
        </w:rPr>
        <w:t>Economic Sanctions &amp; Export Controls Compliance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would not be material to the Company and its Subsidiaries, taken as a whole, the Company and each of its Subsidiaries are, and since March 27, 2023, have been, in material compliance with all applicable economic sanctions Laws or trade restrictions and export control Laws administered or enforced by the U.S. government (including the Office of Foreign Assets Control of the U.S. Department of the Treasury, the U.S. Department of State, or the Bureau of Industry and Security of the U.S. Department of Commerce), the United Nations Security Council, the European Union, or His Majesty’s Treasury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None of the Company, any of its Subsidiaries or any of their respective directors or officers is a Person (i) that is organized or ordinarily resident in a country or territory with which dealings are broadly prohibited under comprehensive U.S. Sanctions, or (ii) with whom dealings are restricted or prohibited under any Sanctions.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Other than as set forth on </w:t>
      </w:r>
      <w:r>
        <w:rPr>
          <w:rFonts w:ascii="Times New Roman" w:cs="Times New Roman" w:eastAsia="Times New Roman" w:hAnsi="Times New Roman"/>
          <w:sz w:val="18"/>
          <w:szCs w:val="18"/>
          <w:u w:val="single" w:color="auto"/>
          <w:color w:val="auto"/>
        </w:rPr>
        <w:t>Section 4.25(c)</w:t>
      </w:r>
      <w:r>
        <w:rPr>
          <w:rFonts w:ascii="Times New Roman" w:cs="Times New Roman" w:eastAsia="Times New Roman" w:hAnsi="Times New Roman"/>
          <w:sz w:val="18"/>
          <w:szCs w:val="18"/>
          <w:color w:val="auto"/>
        </w:rPr>
        <w:t xml:space="preserve"> of the Company Disclosure Letter, none of the Company or any of its Subsidiaries has, or since March 27, 2023, has had, any operations, assets, properties, employees, or businesses outside of the United States.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4.26            </w:t>
      </w:r>
      <w:r>
        <w:rPr>
          <w:rFonts w:ascii="Times New Roman" w:cs="Times New Roman" w:eastAsia="Times New Roman" w:hAnsi="Times New Roman"/>
          <w:sz w:val="18"/>
          <w:szCs w:val="18"/>
          <w:i w:val="1"/>
          <w:iCs w:val="1"/>
          <w:color w:val="auto"/>
        </w:rPr>
        <w:t>Top Suppliers; Top Customers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Section 4.26(a) of the Company Disclosure Letter sets forth a true and complete list of the ten (10) largest suppliers or vendors (the “</w:t>
      </w:r>
      <w:r>
        <w:rPr>
          <w:rFonts w:ascii="Times New Roman" w:cs="Times New Roman" w:eastAsia="Times New Roman" w:hAnsi="Times New Roman"/>
          <w:sz w:val="18"/>
          <w:szCs w:val="18"/>
          <w:b w:val="1"/>
          <w:bCs w:val="1"/>
          <w:color w:val="auto"/>
        </w:rPr>
        <w:t>Top Suppliers</w:t>
      </w:r>
      <w:r>
        <w:rPr>
          <w:rFonts w:ascii="Times New Roman" w:cs="Times New Roman" w:eastAsia="Times New Roman" w:hAnsi="Times New Roman"/>
          <w:sz w:val="18"/>
          <w:szCs w:val="18"/>
          <w:color w:val="auto"/>
        </w:rPr>
        <w:t xml:space="preserve">”) to the Company and its Subsidiaries based on the consolidated cost of goods and services paid to such Persons by the Company or its 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Suppliers, and neither the Company nor any of its Subsidiaries has received any written communication or notice from any Top Supplier to the effect that any such supplier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would not reasonably be expected to interfere materially with the ability of the Company and its Subsidiaries to conduct their businesses as presently conducted.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Section 4.26(b) of the Company Disclosure Letter sets forth a true and complete list of the ten (10) largest customers (the “</w:t>
      </w:r>
      <w:r>
        <w:rPr>
          <w:rFonts w:ascii="Times New Roman" w:cs="Times New Roman" w:eastAsia="Times New Roman" w:hAnsi="Times New Roman"/>
          <w:sz w:val="18"/>
          <w:szCs w:val="18"/>
          <w:b w:val="1"/>
          <w:bCs w:val="1"/>
          <w:color w:val="auto"/>
        </w:rPr>
        <w:t>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Customers</w:t>
      </w:r>
      <w:r>
        <w:rPr>
          <w:rFonts w:ascii="Times New Roman" w:cs="Times New Roman" w:eastAsia="Times New Roman" w:hAnsi="Times New Roman"/>
          <w:sz w:val="18"/>
          <w:szCs w:val="18"/>
          <w:color w:val="auto"/>
        </w:rPr>
        <w:t>”) of the Company and its Subsidiaries based on the consolidated cost of goods and services paid by such Persons to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Subsidiaries for the four (4) consecutive fiscal quarters ended September 28, 2025. Since the date of the Company Balance Sheet through the date of this Agreement, there has not been any material adverse change in the business relationship of the Company or any of its Subsidiaries with any Top Customers, and neither the Company nor any of its Subsidiaries has received any written communication or notice from any Top Customer to the effect that any such customer (i) has changed, modified, amended or reduced, or intends to change, modify, amend or reduce, its business relationship with the Company or any of its Subsidiaries in a manner inconsistent with the ordinary course of business, or (ii) will fail to perform in any respect, or intends to fail to perform in any respect, its obligations under any of its Contracts with the Company or any of its Subsidiaries, except in each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as would not reasonably be expected to interfere materially with the ability of the Company and its Subsidiaries to conduct their businesses as presently conducted.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4.27            </w:t>
      </w:r>
      <w:r>
        <w:rPr>
          <w:rFonts w:ascii="Times New Roman" w:cs="Times New Roman" w:eastAsia="Times New Roman" w:hAnsi="Times New Roman"/>
          <w:sz w:val="18"/>
          <w:szCs w:val="18"/>
          <w:i w:val="1"/>
          <w:iCs w:val="1"/>
          <w:color w:val="auto"/>
        </w:rPr>
        <w:t>Quality and Safety of Food and Beverage Products</w:t>
      </w:r>
      <w:r>
        <w:rPr>
          <w:rFonts w:ascii="Times New Roman" w:cs="Times New Roman" w:eastAsia="Times New Roman" w:hAnsi="Times New Roman"/>
          <w:sz w:val="18"/>
          <w:szCs w:val="18"/>
          <w:color w:val="auto"/>
        </w:rPr>
        <w:t>. Since March 27, 2023, (a) there have been no recalls or withdrawals of any food or beverage product served by the Company, whether ordered by a Governmental Authority or undertaken voluntarily by the Company or any of its Subsidiaries; (b) there have been no notices of warning or withholding, suspension or withdrawal of inspection, seizure, criminal referral, or other similar federal, state or private, or, to the Knowledge of the Company, threatened enforcement actions or other Proceedings, examinations or audits with respect to any food or beverage product served by the Company; (c) none of the food or beverage products of the Company or any of its Subsidiaries have been recalled, seized, withdrawn, detained, suspended, or the subject of any health or safety notification by the Company (or Subsidiary thereof) or any Governmental Authority; and (d) none of the food or beverage products of the Company or any of its Subsidiaries have been adulterated, misbranded, mispackaged, or mislabeled in violation of Applicable Law, or posed an inappropriate threat to the health or safety of a consumer when consumed in the intended manner, in each case, except, in the case of clause (a), (b), (c) or (d), as have not had, and would not reasonably be expected to have, individually or in the aggregate, a Company Material Adverse Effect.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Except for compensation or other employment arrangements in the ordinary course of business, currently there are no Contracts, transactions, arrangements or understandings between the Company or any of its Subsidiaries, on the one hand, and any Affiliate of the Company (including any director or officer thereof,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Except for the Company Financial Advisor,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contemplated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4.30            </w:t>
      </w:r>
      <w:r>
        <w:rPr>
          <w:rFonts w:ascii="Times New Roman" w:cs="Times New Roman" w:eastAsia="Times New Roman" w:hAnsi="Times New Roman"/>
          <w:sz w:val="18"/>
          <w:szCs w:val="18"/>
          <w:i w:val="1"/>
          <w:iCs w:val="1"/>
          <w:color w:val="auto"/>
        </w:rPr>
        <w:t>No Other Representations or Warranties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made by the Company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or the Company SEC Documents, in each case, in accordance with the introduction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neither the Company nor any other Person makes or has made any representation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Without limiting the generality of the foregoing, the Company and its Subsidiaries expressly disclaim any other representations or warranties, whether made by the Company or any of its Subsidiaries or any of their respective Affiliates or Representatives.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The Company acknowledges and agrees that, except for the representations and warranties made by Parent and Merger Sub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none of Parent, Merger Sub, or any other Person is making or has made any representations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Merger Sub or their respective Subsidiaries or any other matter furnished or provided to the Company or made available to the Company in any “data rooms,” “virtual data rooms,” management presentations or in any other form in expectation of, or in connection with, this Agreement or the transactions contemplated herein. The representations and warranties made by Parent and Merger Sub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constitute the sole and exclusive representations and warranties of Parent and Merger Sub in connection with this Agreement or the transactions contemplated herein. The Company specifically disclaims that it is relying upon or has relied upon any such other representations or warranties that may have been made by any Person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and acknowledges and agrees that Parent and its Affiliates (including Merger Sub) have specifically disclaimed and do hereby specifically disclaim any such other representations and warranties or the accuracy or completeness of any information regarding Parent and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With respect to any Section of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except as disclosed in the reports, statements and other documents filed by Parent with the SEC or furnished by Parent to the SEC, in each case, pursuant to the Exchange Act and on or after January 1, 2024 (including the documents incorporated by reference therein), and at least one (1) Business Day prior to the date of this Agreement (other than any disclosures contained under the captions “Risk Factors” and “Quantitative and Qualitative Disclosures About Market Risk” that is not factual or historical in nature, disclosure set forth in any “forward-looking statements” disclaimer or any other disclosures that are predictive, cautionary or forward-looking in nature), provided, however, that nothing contained in such documents shall be deemed to qualify or modify the representations and warranties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Parent and Merger Sub hereby represent and warrant to the Company as follows: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Parent (a) is duly organized, validly existing and in good standing under the laws of the Commonwealth of Virginia; and (b) has the requisite corporate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Each of Parent and Merger Sub have all requisite corporate power and authority to enter into this Agreement and to consummate the transactions contemplated hereby. The execution and delivery by Parent and Merger Sub of this Agreement and the consummation by Parent and Merger Sub of the transactions contemplated hereby have been duly authorized by all necessary corporate action on the part of Parent and Merger Sub. Assuming the due authorization, execution, and delivery hereof by the Company, this Agreement constitutes valid and binding agreements of each of Parent and Merger Sub, as applicable, enforceable against each such Person in accordance with its terms, subject to the Enforceability Exceptions.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xml:space="preserve">. The execution and delivery of this Agreement by each of Parent and Merger Sub, the performance by each of Parent and Merger Sub of their respective covenants and obligations hereunder, and the consummation of the transactions contemplated herein (a) do not violate or conflict with any provision of the Organizational Documents of Parent or Merger Sub; (b) do not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Governmental Authorization or other instrument or obligation to which Parent or Merger Sub is a party or by which Parent, Merger Sub or any of their properties or assets may be bound; (c) do not, assuming the Governmental Authorizations referred to in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are made and obtained, violate or conflict with any Law applicable to Parent or Merger Sub or by which any of their properties or assets are bound; or (d) will not result in the creation of any Lien (other than Permitted Liens) upon any of the properties or assets of Parent or Merger Sub, except in the case of each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for such violations, conflicts, breaches, defaults, terminations, accelerations or Liens that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5.04            </w:t>
      </w:r>
      <w:r>
        <w:rPr>
          <w:rFonts w:ascii="Times New Roman" w:cs="Times New Roman" w:eastAsia="Times New Roman" w:hAnsi="Times New Roman"/>
          <w:sz w:val="17"/>
          <w:szCs w:val="17"/>
          <w:i w:val="1"/>
          <w:iCs w:val="1"/>
          <w:color w:val="auto"/>
        </w:rPr>
        <w:t>Requisite Governmental Approvals</w:t>
      </w:r>
      <w:r>
        <w:rPr>
          <w:rFonts w:ascii="Times New Roman" w:cs="Times New Roman" w:eastAsia="Times New Roman" w:hAnsi="Times New Roman"/>
          <w:sz w:val="17"/>
          <w:szCs w:val="17"/>
          <w:color w:val="auto"/>
        </w:rPr>
        <w:t>. No Governmental Authorization is required on the part of Parent or Merger Sub in connection with (a) the execution and delivery of this Agreement by each of Parent and Merger Sub; (b) the performance by each of Parent and Merger Sub of their respective covenants and obligations pursuant to this Agreement; or (c) the consummation of the transactions contemplated herein, except for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any applicable Antitrust Laws, including the HSR Act; and (iv) such other Governmental Authorizations the failure of which to obtain would not, individually or in the aggregate, prevent or materially delay the consummation of the transactions contemplated herein or have a material adverse effect on the ability of Parent or Merger Sub to perform their respective covenants and obligations under this Agreement or to consummate the transactions contemplated herein.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i w:val="1"/>
          <w:iCs w:val="1"/>
          <w:color w:val="auto"/>
        </w:rPr>
        <w:t>Operation of Merger Sub</w:t>
      </w:r>
      <w:r>
        <w:rPr>
          <w:rFonts w:ascii="Times New Roman" w:cs="Times New Roman" w:eastAsia="Times New Roman" w:hAnsi="Times New Roman"/>
          <w:sz w:val="18"/>
          <w:szCs w:val="18"/>
          <w:color w:val="auto"/>
        </w:rPr>
        <w:t>. All of the issued and outstanding capital stock of Merger Sub is, and at the Closing Date will be, owned by Parent. Merger Sub was formed solely for the purpose of engaging in the transactions contemplated by this Agreement, and prior to the Closing Date will have engaged in no other business activities and will have incurred no liabilities or obligations other than in connection with the transactions contemplated hereby or incidental to its formation.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No Vote of Parent Stockholders; Required Approval</w:t>
      </w:r>
      <w:r>
        <w:rPr>
          <w:rFonts w:ascii="Times New Roman" w:cs="Times New Roman" w:eastAsia="Times New Roman" w:hAnsi="Times New Roman"/>
          <w:sz w:val="18"/>
          <w:szCs w:val="18"/>
          <w:color w:val="auto"/>
        </w:rPr>
        <w:t>. No vote or consent of the holders of any class or series of capital stock of Parent is necessary to adopt or approve this Agreement, the Merger or the other transactions contemplated by this Agreement. The vote or consent of Parent, as the sole stockholder of Merger Sub, is the only vote or consent of the holders of any class or series of capital stock of Merger Sub necessary to adopt or approve the Agreement, the Merger or the other transactions contemplated herein. On the date hereof, Parent, as the sole stockholder of Merger Sub, will vote or provide its consent to approve this Agreement, the Merger and the other transactions contemplated hereby.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There is no Proceeding pending against or, to the knowledge of Parent, threatened in writing against or affecting, Parent, Merger Sub or any of its other Subsidiaries that would reasonably be expected to have, individually or in the aggregate, a material adverse effect on the ability of Parent and Merger Sub to perform their respective covenants and obligations under this Agreement or to consummate the transactions contemplated herein. None of Parent, Merger or any of its other Subsidiaries is subject to any Order that would reasonably be expected to have, individually or in the aggregate, a material adverse effect on the ability of Parent and Merger Sub to perform their respective covenants and obligations under this Agreement or to consummate the transactions contemplated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i w:val="1"/>
          <w:iCs w:val="1"/>
          <w:color w:val="auto"/>
        </w:rPr>
        <w:t>Sufficient Funds</w:t>
      </w:r>
      <w:r>
        <w:rPr>
          <w:rFonts w:ascii="Times New Roman" w:cs="Times New Roman" w:eastAsia="Times New Roman" w:hAnsi="Times New Roman"/>
          <w:sz w:val="18"/>
          <w:szCs w:val="18"/>
          <w:color w:val="auto"/>
        </w:rPr>
        <w:t xml:space="preserve">. Parent has and will, at the Effective Time, have cash, cash equivalents and/or available sources of credit sufficient to (a) consummate the Merger and make all cash payments contemplated to be made by Parent and/or Merger Sub under this Agreement, including payment of all amounts required to be paid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(b) pay all related fees and expenses, and (c) pay all outstanding obligations under the Company Credit Facility. Each of Parent and Merger Sub acknowledges that the obligations of Parent and Merger Sub under this Agreement are not contingent upon or subject to any conditions regarding Parent or Merger Sub’s ability to obtain financing for the consummation of the Merger or the other transactions contemplated herein.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i w:val="1"/>
          <w:iCs w:val="1"/>
          <w:color w:val="auto"/>
        </w:rPr>
        <w:t>Solvency</w:t>
      </w:r>
      <w:r>
        <w:rPr>
          <w:rFonts w:ascii="Times New Roman" w:cs="Times New Roman" w:eastAsia="Times New Roman" w:hAnsi="Times New Roman"/>
          <w:sz w:val="17"/>
          <w:szCs w:val="17"/>
          <w:color w:val="auto"/>
        </w:rPr>
        <w:t xml:space="preserve">. Assuming (a) satisfaction of all of the conditions set forth in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and after giving effect to the transactions contemplated by this Agreement, including the payment of the amounts contemplated in </w:t>
      </w:r>
      <w:r>
        <w:rPr>
          <w:rFonts w:ascii="Times New Roman" w:cs="Times New Roman" w:eastAsia="Times New Roman" w:hAnsi="Times New Roman"/>
          <w:sz w:val="17"/>
          <w:szCs w:val="17"/>
          <w:u w:val="single" w:color="auto"/>
          <w:color w:val="auto"/>
        </w:rPr>
        <w:t>Article 2</w:t>
      </w:r>
      <w:r>
        <w:rPr>
          <w:rFonts w:ascii="Times New Roman" w:cs="Times New Roman" w:eastAsia="Times New Roman" w:hAnsi="Times New Roman"/>
          <w:sz w:val="17"/>
          <w:szCs w:val="17"/>
          <w:color w:val="auto"/>
        </w:rPr>
        <w:t xml:space="preserve">, (b) any repayment or refinancing of debt in connection with this Agreement and the transactions contemplated hereby, (c) the Company and its Subsidiaries, taken as a whole, are solvent immediately prior to the Closing, (d) the accuracy of the representations and warranties of the Company set forth in </w:t>
      </w:r>
      <w:r>
        <w:rPr>
          <w:rFonts w:ascii="Times New Roman" w:cs="Times New Roman" w:eastAsia="Times New Roman" w:hAnsi="Times New Roman"/>
          <w:sz w:val="17"/>
          <w:szCs w:val="17"/>
          <w:u w:val="single" w:color="auto"/>
          <w:color w:val="auto"/>
        </w:rPr>
        <w:t>Article 4</w:t>
      </w:r>
      <w:r>
        <w:rPr>
          <w:rFonts w:ascii="Times New Roman" w:cs="Times New Roman" w:eastAsia="Times New Roman" w:hAnsi="Times New Roman"/>
          <w:sz w:val="17"/>
          <w:szCs w:val="17"/>
          <w:color w:val="auto"/>
        </w:rPr>
        <w:t xml:space="preserve"> hereof, (e) payment of all amounts required to be paid in connection with the consummation of the transactions contemplated by this Agreement, and (f) payment of all related fees and expenses, Parent and the Surviving Corporation, taken as a whole, will be solvent as of the Effective Time and immediately after the consummation of the transactions contemplated by this Agreement. For the purposes of this Agreement, the term “</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xml:space="preserve">” when used with respect to any Person, means that, as of any date of determination (x) the amount of the “fair saleable value” of the assets of such Person will, as of such date, exceed the sum of (i) the value of all “liabilities of such Person, including contingent and other liabilities,” as of such date, as such quoted terms are generally determined in accordance with Applicable Laws governing determinations of the insolvency of debtors,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amount that will be required to pay the probable liabilities of such Person on its existing debts (including contingent and other liabilities) as such debts become absolute and mature, (y) such Person will not have, as of such date, an unreasonably small amount of capital for the operation of the businesses in which it is engaged or proposed to be engaged following such date, and</w:t>
      </w:r>
    </w:p>
    <w:p>
      <w:pPr>
        <w:spacing w:after="0" w:line="2" w:lineRule="exact"/>
        <w:rPr>
          <w:sz w:val="20"/>
          <w:szCs w:val="20"/>
          <w:color w:val="auto"/>
        </w:rPr>
      </w:pPr>
    </w:p>
    <w:p>
      <w:pPr>
        <w:jc w:val="both"/>
        <w:ind w:firstLine="8"/>
        <w:spacing w:after="0" w:line="250" w:lineRule="auto"/>
        <w:tabs>
          <w:tab w:leader="none" w:pos="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will be able to pay its liabilities, including contingent and other liabilities, as they mature. For purposes of the preceding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refinancing, or a combination thereof, to meet its obligations as they become due.</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i w:val="1"/>
          <w:iCs w:val="1"/>
          <w:color w:val="auto"/>
        </w:rPr>
        <w:t>Absence of Certain Agreements</w:t>
      </w:r>
      <w:r>
        <w:rPr>
          <w:rFonts w:ascii="Times New Roman" w:cs="Times New Roman" w:eastAsia="Times New Roman" w:hAnsi="Times New Roman"/>
          <w:sz w:val="18"/>
          <w:szCs w:val="18"/>
          <w:color w:val="auto"/>
        </w:rPr>
        <w:t>. As of the date hereof, other than the Shareholder Voting Agreement, neither Parent, Merger Sub nor any of their respective Affiliates has entered into any agreement, arrangement or understanding (in each case, whether oral or written), or authorized, committed or agreed to enter into any agreement, arrangement or understanding (in each case, whether oral or written), (a) pursuant to which any stockholder of the Company would be entitled to receive in respect of any share of Company Common Stock, consideration of a different amount or nature than the Per Share Merger Consideration or pursuant to which any stockholder of the Company has agreed to vote to adopt this Agreement or has agreed to vote against any Superior Proposal or (b) pursuant to which any stockholder of the Company or any of its Subsidiaries has agreed to make an investment in, or contribution to, Parent or Merger Sub in connection with the transactions contemplated by this Agreement. Other than the Shareholder Voting Agreement, there are no agreements, arrangements or understandings (in each case, whether oral or written) between Parent, Merger Sub or any of their respective Affiliates, on the one hand, and any member of the Company’s management or directors, on the other band, as of the date hereof that relate to or are in connection with, the transactions contemplated by this 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None of Parent, Merger Sub or any other Subsidiary of Parent beneficially owns (as such term is used in Rule 13d-3 promulgated under the Exchange Act) any Company Common Stock or is party to any derivative or hedging arrangement, short position, borrowing or lending of Company Common Stock or other Contract or understanding, the effect or intent of which is to mitigate loss to, or to manage the risk or benefit from, Company Common Stock price changes for, or to increase or decrease the voting power of, Parent, Merger Sub or any other Subsidiary of Parent, in each case, with respect to Company Common Stock. None of Parent, Merger Sub or any of their respective Subsidiaries, or, to the knowledge of Parent, any other Affiliate of Parent is, nor at any time during the last three (3) years has been, an “interested stockholder” of the Company as defined in Section 203 of the DGCL.</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Other than the engagement of Goldman Sachs &amp; Co. LLC by Parent to act as its financial advisor, no Person has acted, directly or indirectly, as a broker, finder or financial advisor for Parent in connection with the transactions contemplated by this Agreement and no such Person is entitled to any fee or commission or like payment from Parent in respect thereof.</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i w:val="1"/>
          <w:iCs w:val="1"/>
          <w:color w:val="auto"/>
        </w:rPr>
        <w:t>Information in Proxy Statement</w:t>
      </w:r>
      <w:r>
        <w:rPr>
          <w:rFonts w:ascii="Times New Roman" w:cs="Times New Roman" w:eastAsia="Times New Roman" w:hAnsi="Times New Roman"/>
          <w:sz w:val="18"/>
          <w:szCs w:val="18"/>
          <w:color w:val="auto"/>
        </w:rPr>
        <w:t>. None of the written information supplied or to be supplied by Parent or Merger Sub expressly for inclusion or incorporation by reference in the Proxy Statement (or any amendment thereof or supplement thereto) will, at the date first mailed to the Company’s stockholders or at the time of the meeting of the Company’s stockholders to be held in connection with the Merger, contain any untrue statement of a material fact or omit to state any material fact required to be stated therein or necessary in order to make the statements made therein, in light of the circumstances under which they are made, not misleading. Notwithstanding the foregoing, no representation or warranty is made by Parent or Merger Sub with respect to statements made or incorporated by reference therein based on information supplied by the Company or its Representatives.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i w:val="1"/>
          <w:iCs w:val="1"/>
          <w:color w:val="auto"/>
        </w:rPr>
        <w:t>No Other Representations and Warranties; Investigation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for the representations and warranties made by Parent and Merger Sub in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none of Parent, Merger Sub or any other Person makes or has made any representation or warranty, expressed or implied, at law or in equity, with respect to or on behalf of Parent, Merger Sub or their respective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Parent or its Subsidiaries (including Merger Sub) or any other matter furnished or provided to the Company or made available to the Company in any “data rooms,” “virtual data rooms,” management presentations or in any other form in expectation of, or in connection with, this Agreement or the transactions contemplated herein. Without limiting the generality of the foregoing, Parent and its Subsidiaries (including Merger Sub) expressly disclaim any other representations or warranties, whether made by Parent or any of its Subsidiaries (including Merger Sub) or any of their respective Affiliates or Representatives.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Each of Parent and Merger Sub acknowledges and agrees that, except for the representations and warranties made by the Company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and the Company SEC Documents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neither the Company nor any other Person is making or has made any representations or warranty, expressed or implied, at law or in equity, with respect to or on behalf of the Company or its Subsidiaries, their businesses, operations, assets, liabilities, financial condition, results of operations, future operating or financial results, estimates, projections, forecasts, plans or prospects (including the reasonableness of the assumptions underlying such estimates, projections, forecasts, plans or prospects) or the accuracy or completeness of any information regarding the Company or its Subsidiaries or any other matter furnished or provided to Parent or made available to Parent in any “data rooms,” “virtual data rooms,” management presentations or in any other form in expectation of, or in connection with, this Agreement or the transactions contemplated herein. The representations and warranties made by the Company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(as qualified by the applicable items disclosed in the Company Disclosure Letter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constitute the sole and exclusive representations and warranties of the Company in connection with this Agreement or the transactions contemplated herein. Each of Parent and Merger Sub specifically disclaims that it is relying upon or has relied upon any such other representations or warranties that may have been made by any Person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 and acknowledges and agrees that the Company and its Affiliates have specifically disclaimed and do hereby specifically disclaim any such other representations and warranties or the accuracy or completeness of any information regarding the Company or its Subsidiaries or any other matter furnished or provided to Parent or Merger Sub or made available to Parent or Merger Sub in any “data rooms,” “virtual data rooms,” management presentations or in any other form in expectation of, or in connection with, this Agreement or the transactions contemplated herein.</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Each of Parent and Merger Sub has conducted its own independent review and analysis of the business, operations, assets, intellectual property, technology, liabilities, results of operations, financial condition and prospects of the Company and its Subsidiaries and acknowledges that each of Parent and Merger Sub has been provided sufficient access to personnel, properties, premises and records of the Company and its Subsidiaries for such purposes. In entering into this Agreement, each of Parent and Merger Sub has relied solely upon its independent investigation and analysis of the Company and its Subsidiaries and the representations and warranties expressly set forth in this Agreement or a certificate delivered expressly pursuant hereto, and each of Parent and Merger Sub acknowledges and agrees that it has not been induced by and has not relied upon any representations, warranties or statements, whether express or implied, made by the Company, any of its Subsidiaries, or any of their respective Affiliates, stockholders, controlling persons or Representatives that are not expressly set forth in this Agreement or a certificate delivered expressly pursuant hereto, whether or not such representations, warranties or statements were made in writing or orally. Each of Parent and Merger Sub acknowledges and agrees that, to the fullest extent permitted by Applicable Law, the Company and its Subsidiaries, and their respective Affiliates, stockholders, controlling persons or Representatives shall not have any liability or responsibility whatsoever to Parent, Merger Sub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Representatives, or any Affiliates, stockholders, or controlling persons of Parent or Merger Sub, except as and only to the extent expressly set forth in this Agreement (as qualified by the applicable items disclosed in the Company Disclosure Letter and the Company SEC Documents in accordance with the introduction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or any certificate delivered expressly pursuant hereto, in the Shareholder Voting Agreement or in the case of fraud.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Conduct of the 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Except (i) as expressly contemplated by this Agreement, (ii) as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Effective Time, the Company shall, and shall cause each of its Subsidiaries to, use commercially reasonable efforts to (A) conduct its business in all material respects in the ordinary course of business consistent with past practice and (B) preserve intact in all material respects its current business organization, ongoing businesses and significant relationships with its officers, employees, suppliers, customers, distributors, licensors, Company Franchisees and the franchise system as a whole and other Persons with whom the Company or its Subsidiaries have material business dealings;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or inaction by the Company or its Subsidiaries with respect to matters specifically addressed by any provision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shall be deemed a breach of this sentence unless such action would constitute a breach of such relevant provision of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Except (i) as expressly contemplated by this Agreement, (ii) as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Disclosure Letter, (iii) as required by Applicable Law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the Effective Time, the Company shall not, and shall not permit any of its Subsidiaries to:</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amend the Organizational Documents of the Company or any of its Subsidiaries (other than any immaterial amendments to the Organizational Documents of any of the Subsidiaries of the Company);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propose or adopt a plan of complete or partial liquidation, dissolution, merger, consolidation, restructuring, recapitalization or other reorganization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(A) issue, sell, deliver, grant, pledge, dispose of or encumber, or agree or commit to issue, sell, deliver, grant, pledge, dispose of or encumber, (1) any Company Securities (other than the issuance of Company Common Stock in accordance with the terms of any award agreements with respect to, and upon the exercise or settlement of, Company Stock Options or Company RSUs outstanding prior to the date hereof) or (2) any of Subsidiary Securities or (B) adopt a rights plan;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reclassify, split, combine, subdivide or redeem, repurchase, purchase or otherwise acquire or amend the terms of, directly or indirectly, any of its capital stock or other equity or voting interest, other than (A) the withholding of shares of Company Common Stock to satisfy the exercise price or Tax obligations incurred in connection with the settlement of Company Stock Options and Company RSUs outstanding prior to the date hereof or (B) the acquisition by the Company of Company RSUs outstanding prior to the date hereof in connection with the forfeiture of such awards, in each case, in accordance with their respective terms;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establish a record date for, declare, set aside or pay any dividends on, or make any other distribution (whether in cash, shares or other equity or property, including any combination thereof) in respect of any shares of capital stock or other equity or voting interest, or make any other actual, constructive or deemed distribution in respect of the shares of capital stock or other equity or voting interest, except for (A) cash dividends made by any direct or indirect wholly owned Subsidiary of the Company to the Company or one of its other wholly owned Subsidiaries and (B) up to two regular quarterly cash dividends on shares of Company Common Stock;</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(A) incur, assume or suffer to exist any Indebtedness, except (1) for trade payables incurred in the ordinary course of business consistent with past practice, or (2) for loans or advances to direct or indirect wholly owned Subsidiaries of the Company in the ordinary course of business consistent with past practice; (B) make any loans, advances or capital contributions to, or investments in, any other Person; or (C) mortgage or pledge any assets, tangible or intangible, or create or suffer to exist any Lien thereupon, except for any Permitted Liens;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except to the extent required by Applicable Law or by any Company Benefit Plan or Contract in effect on the date of this Agreement, (A) enter into, adopt, materially amend, materially modify or terminate any Company Benefit Plan, (B) increase the compensation, bonus, severance, retention or termination pay payable or that could become payable to any current or former directors, officers or employees (excluding any compensation increases in the ordinary course of business consistent with past practice for any employees at Company-owned restaurant locations, other than restaurant general managers), or pay any benefit not required to be paid by any Company Benefit Plan in effect as of the date of this Agreement or (C) grant, amend or modify any Company Equity Awards or other equity or equity-based awards;</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(viii)            settle any pending or threatened Proceeding, except for the settlement of any Proceeding that (A) does not require monetary payments by the Company or its Subsidiaries of more than one hundred thousand Dollars ($100,000) individually or five hundred thousand Dollars ($500,000) in the aggregate and does not impose any material non-monetary obligations on the Company or its Subsidiaries or (B) is Transaction Litigation and settled in compliance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materially change the Company’s or its Subsidiaries’ methods, principles or practices of financial accounting or annual accounting period, except as required by GAAP, Regulation S-X of the Exchange Act or by any Governmental Authority;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(A) make, revoke or change any Tax election, change any method of Tax accounting, file any amended Tax Return or take action to surrender any claim for a refund of Taxes that, in each case, individually or in the aggregate, would materially and adversely affect the Tax liability of the Company or any of its Subsidiaries; (B) change the entity classification of any of the Subsidiaries of the Company; or (C) consent to any extension or waiver of the limitation period applicable to any material Tax claim or assessment (other than any automatic extension of time in which to file a Tax Return);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(xi)                incur or commit to incur any capital expenditures in excess of one hundred thousand Dollars ($100,000) individually and five hundred thousand Dollars ($500,000) in the aggregate other than (A) consistent with the capital expenditure budget for the fiscal year 2026, (B) pursuant to obligations imposed by any Contract in effect as of the date of this Agreement or (C) emergency capital expenditures that are necessary to maintain the operations of the Company’s business and properties as currently conducted,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reasonably practicable the Company shall consult with Parent prior to incurring any emergency capital expenditures in excess of one hundred thousand Dollars ($100,000), individually;</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               enter into, modify in any material respect, amend in any material respect, terminate (other than any Material Contract, Real Property Lease or other restaurant lease that has expired in accordance with its terms) or waive any material rights or material claims under any Material Contract, Real Property Lease or other restaurant lease except, in each case, for renewals of any Material Contract on substantially similar terms;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(xiii)              (i) enter into any new Company Franchise Agreement with a new Company Franchisee, (ii) renew any existing Company Franchise Agreement, (iii) modify in any material respect, amend in any material respect or terminate any Company Franchise Agreement, except, with respect to clauses (i) to (iii) above, (A) in the ordinary course of business consistent with past practice or if such amendment or modification would be on terms consistent with the Company’s form of franchise agreement, (B) as required by the terms of any Company Franchise Agreement in effect on the date hereof or (C) renewals in the ordinary course of business, provided, that no other material terms of the Company Franchise Agreement are modified or amended in connection with such renewal, (iv) except as may be necessary to comply with Franchise Laws, modify a Company FDD or any other materials that were created for or are used in connection with the offering or selling of any Company Franchise or entering into any development agreement or (v) become subject to any Franchise Laws in any jurisdiction in which the Company or its Subsidiaries are not currently subject to Franchise Laws, including by granting any Company Franchise in any such jurisdiction;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(xiv)             make any material change to the terms of the Company’s or any of its Subsidiaries’ system-wide or region-wide policies with respect to Company Franchisees, including any existing or new policies relating to (i) system-wide or region-wide Company Franchisee rent, royalty or other fees and charges, or maintenance of advertising funds, (ii) system-wide or region-wide franchisee incentives or franchisee economic assistance, or (iii) system-wide or region-wide mandates relating to equipment, hardware or software; except, in the case of each of clauses (i) to (iii) above, for updates to existing system-wide or region-wide policies in the ordinary course of business consistent with past practice (for purposes of this clause, “system-wide” means applicable to all Company Franchisees and “region-wide” means applicable to Company Franchisees in any of the following geographic regions: (A) United States;</w:t>
      </w:r>
    </w:p>
    <w:p>
      <w:pPr>
        <w:spacing w:after="0" w:line="3" w:lineRule="exact"/>
        <w:rPr>
          <w:sz w:val="20"/>
          <w:szCs w:val="20"/>
          <w:color w:val="auto"/>
        </w:rPr>
      </w:pPr>
    </w:p>
    <w:p>
      <w:pPr>
        <w:ind w:left="1580" w:hanging="276"/>
        <w:spacing w:after="0"/>
        <w:tabs>
          <w:tab w:leader="none" w:pos="1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Southeast Asia; (C) Latin America/Caribbean; or (D) Europe);</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              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             acquire (by merger, consolidation or acquisition of stock or assets) any other Person or any material equity interest therein or assets thereof in any one transaction or series of related transactions, other than acquisitions (A) of raw materials, supplies, equipment or inventory from vendors or suppliers for consumption or use in the ordinary course of business consistent with past practice or (B) that do not exceed one hundred thousand Dollars ($100,000) in the aggregate;</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            lease, acquire or sell, or enter into any Contract to lease, acquire or sell, any real property or any interest therein for an aggregate payment that exceeds one hundred thousand Dollars ($100,000) in any one transaction or series of related transactions, in each case, without prior good faith consultation with Parent;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(xviii)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(A) in the ordinary course of business consistent with past practice, (B) that are sales or other dispositions of equipment that is no longer used by the Company or its Subsidiaries in the operation of their respective businesses or (C) that have neither a fair market value of the assets nor an aggregate purchase price that exceeds one hundred thousand Dollars ($100,000) in any one transaction or series of related transactions;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(xix)              sell, assign, lease, license, sublicense, terminate, abandon, waive, allow to lapse or otherwise transfer or dispose of, or create or incur any Lien (other than Permitted Liens) on or grant any interest in or rights with respect to, any material Company Intellectual Property (except for (A) non-exclusive licenses entered into or granted in the ordinary course of business consistent with past practice or (B) allowing the lapse of Company Intellectual Property that is no longer actively used by the Company or its Subsidiaries in connection with the respective businesses);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               close any Company-owned restaurants;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              fail to use commercially reasonable efforts to maintain in full force and effect material insurance policies covering the Company and its Subsidiaries and their respective directors, officers, properties, assets and businesses in a form and amount consistent with past practice in all material respects;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(xxii)            establish, adopt, enter into or amend any collective bargaining agreement (or recognize or certify any labor union, labor organization, works council or group of employees as the bargaining representative for any employees of the Company or any of its Subsidiaries);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(xxiii)            implement any employee layoffs that trigger the WARN Act; 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(xxiv)            agree, resolve or commit to take any of the actions prohibited by this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and shall cause its applicable Subsidiaries to, use commercially reasonable efforts to take the actions set forth on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in each case, within the time period set forth on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and in any event prior to the Closing.</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No Solicitation; Acquisition Proposals; Adverse Recommendation Change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Subject to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from the date hereof until the earlier to occur of the Effective Time or the termination of this Agreement pursuant to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the Company agrees that it shall, and it shall cause each of its Subsidiaries and its and their officers and directors to, and shall direct and use its commercially reasonable efforts to cause its and their other Representatives to, immediately (i) cease any solicitations, discussions, negotiations or communications with any Third Party with respect to any Acquisition Proposal that would be prohibited by this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(ii) request the prompt return or destruction of all non-public information concerning the Company or its Subsidiaries previously furnished to any such Third Party (or such Third Party’s Representatives) with whom a confidentiality agreement was entered into at any time within the one (1)-year period preceding the date of this Agreement, to the extent such Third Party is required to do so by such confidentiality agreement; (iii) cease providing any further information or access with respect to the Company and its Subsidiaries or otherwise in connection with any Acquisition Proposal to any such Third Party (or such Third Party’s Representatives); and (iv) terminate all access granted to any such Third Party (or such Third Party’s Representatives) to any physical or electronic data room. Subject to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the Company shall not, and it shall cause each of its Subsidiaries and its and their officers and directors not to, and shall not authorize and shall direct and use commercially reasonable efforts to cause its and their other Representatives not to, directly or indirectly, (A) solicit, initiate, knowingly encourage or knowingly facilitate any Acquisition Proposal, including by providing information (including non-public information) relating to the Company or any of its Subsidiaries or affording access to the business, properties, assets, books or records of the Company or its Subsidiaries to any Third Party (or such Third Party’s Representatives) in connection with or for the purposes of knowingly encouraging or knowingly facilitating an Acquisition Proposal, (B) engage in, enter into or otherwise participate in any discussions or negotiations with any Third Party (or such Third Party’s Representatives) with respect to an Acquisition Proposal, (C) approve or recommend an Acquisition Proposal, (D) enter into any letter of intent, memorandum of understanding, agreement in principle, acquisition agreement, merger agreement, share purchase agreement, asset purchase agreement, share exchange agreement, option agreement or other similar definitive agreement relating to an Acquisition Proposal, other than an Acceptable Confidentiality Agreement (any of the foregoing, an “</w:t>
      </w:r>
      <w:r>
        <w:rPr>
          <w:rFonts w:ascii="Times New Roman" w:cs="Times New Roman" w:eastAsia="Times New Roman" w:hAnsi="Times New Roman"/>
          <w:sz w:val="18"/>
          <w:szCs w:val="18"/>
          <w:b w:val="1"/>
          <w:bCs w:val="1"/>
          <w:color w:val="auto"/>
        </w:rPr>
        <w:t>Alternative Acquisition Agreement</w:t>
      </w:r>
      <w:r>
        <w:rPr>
          <w:rFonts w:ascii="Times New Roman" w:cs="Times New Roman" w:eastAsia="Times New Roman" w:hAnsi="Times New Roman"/>
          <w:sz w:val="18"/>
          <w:szCs w:val="18"/>
          <w:color w:val="auto"/>
        </w:rPr>
        <w:t>”) or requiring the Company to abandon, terminate or fail to consummate the transactions contemplated by this Agreement, or (E) propose or agree to do any of the foregoing.</w:t>
      </w:r>
    </w:p>
    <w:p>
      <w:pPr>
        <w:spacing w:after="0" w:line="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Notwithstanding anything to the contrary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if prior to obtaining the Company Stockholder Approval the Company receives an unsolicited written Acquisition Proposal from a Third Party that did not result from a material breach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the Company Board (or a committee thereof) has determined in good faith, after consultation with the Company’s independent financial advisors and outside legal counsel, that (x) such Acquisition Proposal constitutes or could be reasonably expected to result in a Superior Proposal and (y) the failure to take the actions set forth in </w:t>
      </w:r>
      <w:r>
        <w:rPr>
          <w:rFonts w:ascii="Times New Roman" w:cs="Times New Roman" w:eastAsia="Times New Roman" w:hAnsi="Times New Roman"/>
          <w:sz w:val="18"/>
          <w:szCs w:val="18"/>
          <w:u w:val="single" w:color="auto"/>
          <w:color w:val="auto"/>
        </w:rPr>
        <w:t>clauses (i)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paragraph would be inconsistent with its fiduciary duties under Applicable Law, the Company and its Subsidiaries and Representatives may, in response to such Acquisition Proposal, (i) furnish information (including non-public information) relating to the Company or any of its Subsidiaries and afford access to the business, properties, assets, personnel, books and records of the Company or its Subsidiaries to such Third Party (and such Third Party’s Representatives) making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so furnishing such information, the Company receives from the Third Party an executed Acceptable Confidentiality Agreement, and (B) any non-public information concerning the Company or its Subsidiaries that is provided to such Third Party (or its Representatives) shall, to the extent not previously provided to Parent, be provided to Parent as promptly as reasonably practicable after providing it to such Third Party or its Representatives (and in any event within twenty-four (24) hours thereafter)), and (ii) enter into, engage, maintain or otherwise participate in discussions or negotiations with such Third Party (and such Third Party’s Representatives) with respect to such Acquisition Proposal, or otherwise cooperate with or assist or participate in, or facilitate, any such discussions or negotiations.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notify Parent reasonably promptly (but in no event later than twenty-four (24) hours) after receipt of any Acquisition Proposal or any request for non-public information regarding the Company or any of its Subsidiaries by any Third Party that informs the Company that it is considering making, or has made, an Acquisition Proposal, or any other inquiry from any Third Party seeking non-public information or to have discussions or negotiations with the Company or its Representatives regarding a possible Acquisition Proposal. Such notice shall be made in writing and shall identify the Third Party making such Acquisition Proposal or request and indicate the material terms and conditions of any such Acquisition Proposal, to the extent known (including, if applicable, providing copies of any written Acquisition Proposal and any proposed agreements related thereto). The Company shall also reasonably promptly (and in any event within twenty-four (24) hours) notify Parent, in writing, if it enters into discussions or negotiations concerning any Acquisition Proposal or provides non-public information to any Third Party as permitted by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promptly notify Parent of any change to the financial and other material terms and conditions of any such Acquisition Proposal and otherwise keep Parent reasonably informed of the status and terms of any such Acquisition Proposal, including by providing a copy of all written proposals, counter-proposals, offers, drafts of proposed agreements and any material correspondence relating thereto. Neither the Company nor any of its Subsidiaries shall, after the date of this Agreement, enter into any confidentiality or similar agreement that would prohibit it from providing such information to Parent or otherwise complying with its obligations under this Agreement.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Except as permitted by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neither the Company Board nor any committee thereof shall (i) (A) change, withhold, withdraw, modify or qualify in any manner adverse to Parent or Merger Sub or resolve to or publicly propose or announce its intention to change, withhold, withdraw, modify or qualify in a manner adverse to Parent or Merger Sub, the Board Recommendation, (B) approve, adopt or recommend or resolve to or publicly propose or announce its intention to approve, adopt or recommend any Acquisition Proposal, (C) fail to include the Board Recommendation in the Proxy Statement, (D) within ten (10) Business Days of Parent’s written request, fail to make or reaffirm the Board Recommendation following the date any Acquisition Proposal or any material modification thereto is first disclosed or given to stockholders of the Company, (E) fail to recommend, in a Solicitation/ Recommendation Statement on Schedule 14D-9, against any Acquisition Proposal that is a tender offer or exchange offer subject to Regulation 14D promulgated under the Exchange Act within ten (10) Business Days after the commencement (within the meaning of Rule 14d-2 under the Exchange Act) of such tender offer or exchange offer, or (F) publicly propose or agree to any of the foregoing (any of the actions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 </w:t>
      </w: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xml:space="preserve">”) or (ii) approve, adopt, declare advisable or recommend (or agree to, resolve or propose to approve, adopt, declare advisable or recommend), or cause or permit the Company or any of its Subsidiaries to enter into, any Alternative Acquisition Agreement (other than an Acceptable Confidentiality Agreement entered into in accordance with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or publicly propose or announce its intention to do any of the foregoing.</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Notwithstanding anything in </w:t>
      </w:r>
      <w:r>
        <w:rPr>
          <w:rFonts w:ascii="Times New Roman" w:cs="Times New Roman" w:eastAsia="Times New Roman" w:hAnsi="Times New Roman"/>
          <w:sz w:val="18"/>
          <w:szCs w:val="18"/>
          <w:u w:val="single" w:color="auto"/>
          <w:color w:val="auto"/>
        </w:rPr>
        <w:t>Section 6.02(d)</w:t>
      </w:r>
      <w:r>
        <w:rPr>
          <w:rFonts w:ascii="Times New Roman" w:cs="Times New Roman" w:eastAsia="Times New Roman" w:hAnsi="Times New Roman"/>
          <w:sz w:val="18"/>
          <w:szCs w:val="18"/>
          <w:color w:val="auto"/>
        </w:rPr>
        <w:t xml:space="preserve"> or any other provision in this Agreement to the contrary, at any time after the date hereof and prior to obtaining the Company Stockholder Approval, the Company Board may (A) effect an Adverse Recommendation Change in response to an Intervening Event; or (B) if the Company has received a written Acquisition Proposal that did not result from a breach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that the Company Board (or a committee thereof) has determined, after consultation with the Company’s outside legal counsel and independent financial advisors, constitutes a Superior Proposal, effect an Adverse Recommendation Change and/or terminate this Agreement pursuant to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xml:space="preserve"> with respect to such Superior Proposal, in each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and only if:</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right="2200"/>
        <w:spacing w:after="0" w:line="250" w:lineRule="auto"/>
        <w:rPr>
          <w:sz w:val="20"/>
          <w:szCs w:val="20"/>
          <w:color w:val="auto"/>
        </w:rPr>
      </w:pPr>
      <w:r>
        <w:rPr>
          <w:rFonts w:ascii="Times New Roman" w:cs="Times New Roman" w:eastAsia="Times New Roman" w:hAnsi="Times New Roman"/>
          <w:sz w:val="18"/>
          <w:szCs w:val="18"/>
          <w:color w:val="auto"/>
        </w:rPr>
        <w:t xml:space="preserve">(i)                 the Company has complied in all material respects with its obligations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w:t>
      </w:r>
    </w:p>
    <w:p>
      <w:pPr>
        <w:spacing w:after="0" w:line="1"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Company Board (or a committee thereof) has determined, after consultation with the Company’s outside legal counsel, that the failure to take such action would reasonably be expected to be inconsistent with the directors’ fiduciary or other duties under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Company has provided a prior written notice (a “</w:t>
      </w:r>
      <w:r>
        <w:rPr>
          <w:rFonts w:ascii="Times New Roman" w:cs="Times New Roman" w:eastAsia="Times New Roman" w:hAnsi="Times New Roman"/>
          <w:sz w:val="18"/>
          <w:szCs w:val="18"/>
          <w:b w:val="1"/>
          <w:bCs w:val="1"/>
          <w:color w:val="auto"/>
        </w:rPr>
        <w:t>Notice of Change of Recommendation</w:t>
      </w:r>
      <w:r>
        <w:rPr>
          <w:rFonts w:ascii="Times New Roman" w:cs="Times New Roman" w:eastAsia="Times New Roman" w:hAnsi="Times New Roman"/>
          <w:sz w:val="18"/>
          <w:szCs w:val="18"/>
          <w:color w:val="auto"/>
        </w:rPr>
        <w:t>”) to Parent stating that the Company Board (or a committee thereof) intends to take such action and the basis therefor, which notice shall (x) in the case of an Intervening Event, describe such Intervening Event in reasonable detail and (y) in the case of a Superior Proposal, identify the Third Party making the Superior Proposal, describe in reasonable detail the material terms and conditions of such Superior Proposal and include, to the extent applicable, copies of all relevant documents relating to such Superior Proposal, including any proposed merger or other agreement, financing documents and commitment letters;</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during the four (4) Business Day period following Parent’s receipt of the Notice of Change of Recommendation (a “</w:t>
      </w:r>
      <w:r>
        <w:rPr>
          <w:rFonts w:ascii="Times New Roman" w:cs="Times New Roman" w:eastAsia="Times New Roman" w:hAnsi="Times New Roman"/>
          <w:sz w:val="18"/>
          <w:szCs w:val="18"/>
          <w:b w:val="1"/>
          <w:bCs w:val="1"/>
          <w:color w:val="auto"/>
        </w:rPr>
        <w:t>Notice of Change Period</w:t>
      </w:r>
      <w:r>
        <w:rPr>
          <w:rFonts w:ascii="Times New Roman" w:cs="Times New Roman" w:eastAsia="Times New Roman" w:hAnsi="Times New Roman"/>
          <w:sz w:val="18"/>
          <w:szCs w:val="18"/>
          <w:color w:val="auto"/>
        </w:rPr>
        <w:t>”), the Company shall, and shall cause its Representatives to, negotiate with Parent (to the extent Parent desires to negotiate) to make such adjustments or modifications in the terms and conditions of this Agreement so that, (x) in the case of an Intervening Event, the failure to effect such Adverse Recommendation Change would no longer reasonably be expected to be inconsistent with the directors’ fiduciary or other duties under Applicable Law and (y) in the case of a Superior Proposal, such Acquisition Proposal ceases to constitute a Superior Proposal; and</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                following such Notice of Change Period, the Company Board (or a committee thereof) has determined, after consultation with the Company’s outside legal counsel and independent financial advisors, and taking into account any changes to this Agreement or the Merger and other transactions contemplated herein proposed by Parent in response to the Notice of Change of Recommendation or otherwise, that the failure of the Company Board (or a committee thereof) to effect an Adverse Recommendation Change and/or terminate this Agreement pursuant to </w:t>
      </w:r>
      <w:r>
        <w:rPr>
          <w:rFonts w:ascii="Times New Roman" w:cs="Times New Roman" w:eastAsia="Times New Roman" w:hAnsi="Times New Roman"/>
          <w:sz w:val="18"/>
          <w:szCs w:val="18"/>
          <w:u w:val="single" w:color="auto"/>
          <w:color w:val="auto"/>
        </w:rPr>
        <w:t>Section 8.01(i)</w:t>
      </w:r>
      <w:r>
        <w:rPr>
          <w:rFonts w:ascii="Times New Roman" w:cs="Times New Roman" w:eastAsia="Times New Roman" w:hAnsi="Times New Roman"/>
          <w:sz w:val="18"/>
          <w:szCs w:val="18"/>
          <w:color w:val="auto"/>
        </w:rPr>
        <w:t>, as applicable, could reasonably be expected to be inconsistent with the directors’ fiduciary or other duties under Applicable Law and, with respect to a Superior Proposal, that such Acquisition Proposal continues to constitute a Superior Proposal.</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Any amendment to the financial terms (including the form, amount or timing of payment of consideration) or any other material amendment of a Superior Proposal will require a new Notice of Change of Recommendation, and the Company will be required to comply again with the requirements of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Notice of Change Period will be reduced to two (2) Business Days following receipt by Parent of such new Notice of Change of Recommendation. The parties agree that the delivery of the Notice of Change of Recommendation by the Company will not, in and of itself, constitute an Adverse Recommendation Change.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Nothing contained in this Agreement will prohibit the Company, the Company Board, or a committee thereof from (i) taking and disclosing to the Company’s stockholders a position contemplated by Rule 14e-2(a), Rule 14d-9 or Item 1012(a) of Regulation M-A promulgated under the Exchange Act or (ii) making any disclosure to the stockholders of the Company that is required by Applicable Law (it being agreed that (A) a factually accurate public statement by the Company that describes the Company’s receipt of an Acquisition Proposal and the operation of this Agreement with respect thereto or (B) the issuance by the Company or the Company Board (or a committee thereof) of a “stop, look and listen” or any similar statement of the type contemplated by Rule 14d-9(f) promulgated under the Exchange Act will not constitute an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or any committee thereof will be permitted to recommend that the stockholders of the Company tender any securities in connection with any tender offer or exchange offer that is an Acquisition Proposal or otherwise effect an Adverse Recommendation Change, except in accordance with the other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(h)           The Company agrees (i) that it will promptly instruct its and its Subsidiaries’ respective Representatives of the obligations undertaken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(ii) any violation or breach of the restrictions set forth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by any of the Subsidiaries of the Company or any director, officer, employee or other Representative of the Company or any of its Subsidiaries acting at the direction of the Company or on its behalf shall be deemed to be a breach or violation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by the Company for all purposes of this Agreement.</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Approval of Merger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As soon as reasonably practicable following the date of this Agreement (and in any event within forty-five (45) days thereof, subject to Parent’s timely performance of its obligations under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the Company shall prepare and shall cause to be filed with the SEC in preliminary form a proxy statement relating to the Stockholders’ Meeting (together with any amendments thereof or supplements thereto, the “</w:t>
      </w:r>
      <w:r>
        <w:rPr>
          <w:rFonts w:ascii="Times New Roman" w:cs="Times New Roman" w:eastAsia="Times New Roman" w:hAnsi="Times New Roman"/>
          <w:sz w:val="18"/>
          <w:szCs w:val="18"/>
          <w:b w:val="1"/>
          <w:bCs w:val="1"/>
          <w:color w:val="auto"/>
        </w:rPr>
        <w: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The Company will cause the Proxy Statement, at the time of the mailing of the Proxy Statement or any amendments or supplements thereto,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at the time of the Stockholders’ Meeting, to not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representation or warranty is made by the Company with respect to information supplied by Parent or Merger Sub in writing expressly for inclusion or incorporation by reference in the Proxy Statement. The Company will cause the Proxy Statement to comply in all material respects with the provisions of the Exchange Act and the rules and regulations promulgated thereunder and to satisfy all rules of NASDAQ. The Company shall, as promptly as reasonably practicable, notify Parent and Merger Sub upon the receipt of any comments from the SEC or the staff of the SEC or any request from the SEC or the staff of the SEC for amendments or supplements to the Proxy Statement, and shall, as promptly as reasonably practicable, provide Parent and Merger Sub with copies of all correspondence between the Company or its Representatives, on the one hand, and the SEC or the staff of the SEC, on the other hand. The Company shall use commercially reasonable efforts to respond as promptly as reasonably practicable to any comments of the SEC or the staff of the SEC with respect to the Proxy Statement. Prior to the filing of the Proxy Statement or the dissemination thereof to the Company’s stockholders, or responding to any comments of the SEC or the staff of the SEC with respect thereto, the Company shall provide Parent and Merger Sub and their Representatives a reasonable opportunity to review and to propose comments on such document or response and shall consider in good faith any comments so proposed.</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Parent shall promptly provide to the Company all information concerning Parent and Merger Sub as may be reasonably requested by the Company in connection with the Proxy Statement and shall otherwise reasonably cooperate with the Company upon request in the preparation of the Proxy Statement and response to any comments of the SEC or its staff related thereto. Parent will cause the information relating to Parent or Merger Sub supplied by it in writing expressly for inclusion in the Proxy Statement, at the time the Proxy Statement is first mailed to stockholders of the Company or of any amendments or supplements thereto, and at the time of the Stockholders’ Meeting, not to contain any untrue statement of a material fact or omit to state any material fact required to be stated therein or necessary in order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 representation or warranty is made by Parent or Merger Sub with respect to information supplied by the Company or any other Person for inclusion or incorporation by reference in the Proxy Statement. Each of Parent and Merger Sub will furnish to the Company the information relating to it required by the Exchange Act and the rules and regulations promulgated thereunder to be set forth in the Proxy Statement promptly following request therefor from the Company.</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cause the definitive Proxy Statement to be filed with the SEC and mailed to the Company’s stockholders as promptly as reasonably practicable, and in no event more than ten (10) Business Days, after the later of (i) the expiration of the ten (10)-day waiting period provided in Rule 14a-6(a) promulgated under the Exchange Act, (ii) the date on which the Company learns the SEC staff has no further comments on the Proxy Statement or (iii) the date on which the conditions set forth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shall have been satisfied or, to the extent permitted by Applicable Law, waived (the “</w:t>
      </w:r>
      <w:r>
        <w:rPr>
          <w:rFonts w:ascii="Times New Roman" w:cs="Times New Roman" w:eastAsia="Times New Roman" w:hAnsi="Times New Roman"/>
          <w:sz w:val="18"/>
          <w:szCs w:val="18"/>
          <w:b w:val="1"/>
          <w:bCs w:val="1"/>
          <w:color w:val="auto"/>
        </w:rPr>
        <w:t>Proxy Statement Clearance Date</w:t>
      </w:r>
      <w:r>
        <w:rPr>
          <w:rFonts w:ascii="Times New Roman" w:cs="Times New Roman" w:eastAsia="Times New Roman" w:hAnsi="Times New Roman"/>
          <w:sz w:val="18"/>
          <w:szCs w:val="18"/>
          <w:color w:val="auto"/>
        </w:rPr>
        <w:t>”). The Company will take, in accordance with Applicable Law and the Company Organizational Documents, all reasonable action necessary to establish a record date for and give notice of a meeting of its stockholders, for the purpose of obtaining the Company Stockholder Approval (the “</w:t>
      </w:r>
      <w:r>
        <w:rPr>
          <w:rFonts w:ascii="Times New Roman" w:cs="Times New Roman" w:eastAsia="Times New Roman" w:hAnsi="Times New Roman"/>
          <w:sz w:val="18"/>
          <w:szCs w:val="18"/>
          <w:b w:val="1"/>
          <w:bCs w:val="1"/>
          <w:color w:val="auto"/>
        </w:rPr>
        <w:t>Stockholders’ Meeting</w:t>
      </w:r>
      <w:r>
        <w:rPr>
          <w:rFonts w:ascii="Times New Roman" w:cs="Times New Roman" w:eastAsia="Times New Roman" w:hAnsi="Times New Roman"/>
          <w:sz w:val="18"/>
          <w:szCs w:val="18"/>
          <w:color w:val="auto"/>
        </w:rPr>
        <w:t xml:space="preserve">”). The Company shall duly call, convene and hold the Stockholders’ Meeting as promptly as reasonably practicable after the Proxy Statement Clearance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 no event shall such meeting be held later than thirty (30) calendar days following the date the Proxy Statement is mailed to the Company’s stockholders without Parent’s prior written consent. Except to the extent the Company Board (or a committee thereof) shall have withdrawn, modified or qualified its recommendation thereof or otherwise effected an Adverse Recommendation Change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which Adverse Recommendation Change is not thereafter withdrawn by the Company Board or a committee thereof, the Proxy Statement shall include the Board Recommendation and the Company shall use reasonable best efforts to solicit proxies in favor of the adoption of this Agreement and, in any event, shall ensure that all proxies solicited by or on behalf of the Company in connection with the Stockholders’ Meeting are solicited in compliance with all Applicable Laws and all rules of NASDAQ. The Company agrees that, unless this Agreement shall have been terminated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its obligations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not be affected by the commencement, public proposal, public disclosure or communication to the Company of any Acquisition Proposal or (except as expressly set forth in the preceding sentence) by the making of any Adverse Recommendation 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The Company may, and at Parent’s request shall, adjourn the Stockholders’ Meeting in one or more successive adjournments to a date that is no later than thirty (30) days after the date on which the Stockholders’ Meeting was originally scheduled (excluding any adjournments or postponements required by Applicable Law) (i) if a quorum has not been established, (ii) to allow reasonable additional time to solicit additional proxies if necessary in order to obtain the Company Stockholder Approval or (iii) after consultation with Parent, to allow reasonable additional time for the filing and mailing of any supplemental or amended disclosure which the Company Board (or a committee thereof) has determined in good faith is necessary or advisable under Applicable Law and for such supplemental or amended disclosure to be disseminated and reviewed by the Company’s stockholders prior to the Stockholders’ Meeting. The Company shall keep Parent reasonably informed with respect to the number of proxies received and its preliminary vote tabulation prior to and at the Stockholders’ Meeting.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If at any time prior to the Effective Time any event or circumstance relating to the Company or any of its Subsidiaries or its or their respective officers or directors should be discovered by the Company which, pursuant to Applicable Law, should be set forth in an amendment or a supplement to the Proxy Statement, they shall as promptly as reasonably practicable inform Parent. Each of Parent, Merger Sub and the Company agree to correct any information provided by it for use in the Proxy Statement which shall have become false or misleading. Each of the Company and Parent shall cause all documents that such party is responsible for filing with the SEC in connection with the Merger to comply as to form in all material respects with the applicable requirements of the Securities Act and the Exchange Act and, as applicable, not to contain any untrue statement of a material fact or omit to state any material fact required to be stated therein or necessary in order to make the statements therein, in light of the circumstances under which they were made, not misleading.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xml:space="preserve">. From the date of this Agreement until the Effective Time or the date, if any, on which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 Company shall, upon reasonable prior notice, give Parent and Merger Sub, their officers and employees and their authorized Representatives, reasonable access during normal business hours to the contracts, books, records, analyses, projections, financial and operating data, plans, systems, senior management, employees, other Representatives, offices and other facilities and properties of the Company as Parent or Merger Sub or their respective Representatives may from time to time reasonably request in writing. The terms of the Confidentiality Agreement shall apply to any information provided to Parent or Merger Sub pursuant to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Notwithstanding anything to the contrary set forth herein, the Company shall not be required to provide access to, or to disclose information, where such access or disclosure would, as advised by outside counsel, (a) jeopardize the attorney-client privilege of the Company or its Subsidiaries or (b) contravene any Applicable Law or any applicable antitrust principles or contractual restriction;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in such event use commercially reasonable efforts to make reasonable alternative arrangements to permit such access or disclosure in a way that does not violate such obligations or Applicable Law or would not result in the loss of such legal protections, including entering into a joint defense agreement in customary form. Promptly following the execution of this Agreement, the Company shall deliver to Parent a true and complete copy of the written Fairness Opinion solely for informational purposes, and it is understood and agreed that such Fairness Opinion may not be relied upon by Parent or Merger Sub.</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Notice of Certain Events</w:t>
      </w:r>
      <w:r>
        <w:rPr>
          <w:rFonts w:ascii="Times New Roman" w:cs="Times New Roman" w:eastAsia="Times New Roman" w:hAnsi="Times New Roman"/>
          <w:sz w:val="18"/>
          <w:szCs w:val="18"/>
          <w:color w:val="auto"/>
        </w:rPr>
        <w:t xml:space="preserve">. The Company shall give prompt notice to Parent and Merger Sub, and Parent and Merger Sub shall give prompt written notice to the Company, of the occurrence or non-occurrence of any event whose occurrence or non-occurrence, as the case may be, would reasonably be likely to cause any condition to Closing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to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not limit or otherwise affect the remedies available hereunder to the party receiving such notice or the representations or warranties of the parties, or the conditions to the obligations of the parties hereto. Furthermore, each party shall give prompt notice to the other parties of any notice or other communication received by such party from any Governmental Authority in connection with this Agreement, the Merger or the transactions contemplated hereby, or from any Person alleging that the consent of such Person is or may be required in connection with the Merger or the transactions contemplated hereby.</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Employee Benefit Plan Matters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In addition to any other obligation set forth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for a period of nine (9) months following the Closing Date (the “</w:t>
      </w:r>
      <w:r>
        <w:rPr>
          <w:rFonts w:ascii="Times New Roman" w:cs="Times New Roman" w:eastAsia="Times New Roman" w:hAnsi="Times New Roman"/>
          <w:sz w:val="18"/>
          <w:szCs w:val="18"/>
          <w:b w:val="1"/>
          <w:bCs w:val="1"/>
          <w:color w:val="auto"/>
        </w:rPr>
        <w:t>Benefits Continuation Period</w:t>
      </w:r>
      <w:r>
        <w:rPr>
          <w:rFonts w:ascii="Times New Roman" w:cs="Times New Roman" w:eastAsia="Times New Roman" w:hAnsi="Times New Roman"/>
          <w:sz w:val="18"/>
          <w:szCs w:val="18"/>
          <w:color w:val="auto"/>
        </w:rPr>
        <w:t>”), Parent shall provide to employees of the Company and its Subsidiaries, while their employment continues during the Benefits Continuation Period (the “</w:t>
      </w:r>
      <w:r>
        <w:rPr>
          <w:rFonts w:ascii="Times New Roman" w:cs="Times New Roman" w:eastAsia="Times New Roman" w:hAnsi="Times New Roman"/>
          <w:sz w:val="18"/>
          <w:szCs w:val="18"/>
          <w:b w:val="1"/>
          <w:bCs w:val="1"/>
          <w:color w:val="auto"/>
        </w:rPr>
        <w:t>Continuing Employees</w:t>
      </w:r>
      <w:r>
        <w:rPr>
          <w:rFonts w:ascii="Times New Roman" w:cs="Times New Roman" w:eastAsia="Times New Roman" w:hAnsi="Times New Roman"/>
          <w:sz w:val="18"/>
          <w:szCs w:val="18"/>
          <w:color w:val="auto"/>
        </w:rPr>
        <w:t>”), (i) base salary or wage level and target cash bonus opportunities that is no less than, in the aggregate, the base salary or wage level (as applicable) and target cash bonus opportunities provided to them as employees of the Company or its Subsidiaries as in effect immediately prior to the Effective Time and (ii) employee benefits that are substantially comparable in the aggregate to those provided to such Continuing Employees immediately prior to the Effective Time. For the avoidance of doubt, Parent shall not be required to provide to any Continuing Employees any equity-based compensation.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Parent shall, or shall cause its applicable Subsidiary to (i) credit each Continuing Employee with his or her years of service with the Company and any predecessor entities for purposes of eligibility, vesting and benefit accrual (including but not limited to accrual of paid time off and levels of severance benefits under severance arrangements) with respect to the Company Benefit Plans and any replacement or successor benefit plan of Parent that a Continuing Employee is eligible to participate in following the Closing Date, except for benefit accrual under a defined benefit pension plan or to the extent such credit would result in a duplication of benefits, (ii) use commercially reasonable efforts to waive any applicable pre-existing condition exclusions and waiting periods with respect to participation and coverage requirements in any replacement or successor welfare benefit plan of Parent that a Continuing Employee is eligible to participate in following the Closing Date to the extent such exclusions or waiting periods were inapplicable to, or had been satisfied by, such Continuing Employee immediately prior to the Closing Date under the analogous Company Benefit Plan in which such Continuing Employee participated, and (iii) use commercially reasonable efforts to provide each Continuing Employee with credit for any co-payments and deductibles paid during the portion of the applicable plan year in which Closing Date occurs (to the same extent such credit was given under the analogous Company Benefit Plan prior to the Closing Date) in satisfying any applicable deductible or out of pocket requirements.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No provision of this Agreement shall (i) constitute the establishment or adoption of, or amendment to, any Company Benefit Plan or employee benefit plan, or require Parent or the Company or any of their respective Subsidiaries or Affiliates to continue any Company Benefit Plan or other employee benefit plan, (ii) create any third party beneficiary rights in any current or former employee, officer, director or other service provider of the Company or any of its Affiliates (including any beneficiary or dependent thereof) in respect of continued employment by the Company, Parent, any of their respective Affiliates or otherwise, or (iii) in any way limit the ability of the Company, Parent or any of their Subsidiaries or Affiliates to terminate the employment of any individual at any time or for any reason.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to the contrary, Parent shall, and shall cause any of its Affiliates to, provide Continuing Employees whose employment terminates during the Benefits Continuation Period with severance benefits at levels no less than and pursuant to the terms set forth in </w:t>
      </w:r>
      <w:r>
        <w:rPr>
          <w:rFonts w:ascii="Times New Roman" w:cs="Times New Roman" w:eastAsia="Times New Roman" w:hAnsi="Times New Roman"/>
          <w:sz w:val="18"/>
          <w:szCs w:val="18"/>
          <w:u w:val="single" w:color="auto"/>
          <w:color w:val="auto"/>
        </w:rPr>
        <w:t>Section 6.06(d)</w:t>
      </w:r>
      <w:r>
        <w:rPr>
          <w:rFonts w:ascii="Times New Roman" w:cs="Times New Roman" w:eastAsia="Times New Roman" w:hAnsi="Times New Roman"/>
          <w:sz w:val="18"/>
          <w:szCs w:val="18"/>
          <w:color w:val="auto"/>
        </w:rPr>
        <w:t xml:space="preserve"> of the Company Disclosure Letter.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Prior to the Closing, the Company shall, and shall cause each of its Subsidiaries to, at Parent’s request, take all actions necessary for the termination of each Company Benefit Plan that constitutes a plan qualified under Section 401(a) of the Code (each such plan,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Qualified Plan</w:t>
      </w:r>
      <w:r>
        <w:rPr>
          <w:rFonts w:ascii="Times New Roman" w:cs="Times New Roman" w:eastAsia="Times New Roman" w:hAnsi="Times New Roman"/>
          <w:sz w:val="18"/>
          <w:szCs w:val="18"/>
          <w:color w:val="auto"/>
        </w:rPr>
        <w:t>”), as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6.06(e)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Disclosure Letter, with such termination effective no later than the date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preceding the Closing Date. The resolutions and other actions taken to terminate any such Company Qualified Plan, and any amendments required in connection with such termination, if applicable, shall be in a form and manner reasonably acceptable to Parent, and the Company shall provide Parent with evidence reasonably satisfactory to Parent that each Company Qualified Plan has been amended and terminated in accordance with the applicable Company Qualified Plan document and Applicable Law. Parent shall, if a Company Qualified Plan is terminated as contemplated above, permit rollover (other than loan rollover) from such Company Qualified Plan.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(f)             Prior to the Closing, the Company shall, and shall cause each of its Subsidiaries to, at Parent’s request, take all actions necessary for the termination of the Company Benefit Plans offering group health or welfare benefits, as identified by Parent prior to the Closing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Welfare Plans</w:t>
      </w:r>
      <w:r>
        <w:rPr>
          <w:rFonts w:ascii="Times New Roman" w:cs="Times New Roman" w:eastAsia="Times New Roman" w:hAnsi="Times New Roman"/>
          <w:sz w:val="18"/>
          <w:szCs w:val="18"/>
          <w:color w:val="auto"/>
        </w:rPr>
        <w:t>”), with such termination to be effective upon the Closing Date. The resolutions and other actions taken to terminate any such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Welfare Plan, if applicable, shall be in a form and manner reasonably acceptable to Parent, and the Company shall provide Parent with evidence reasonably satisfactory to Parent that each Company Welfare Plan will be terminated effective upon the Closing in accordance with the terms of the applicable Company Welfare Plan documents and Applicable Law.</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State Takeover Laws</w:t>
      </w:r>
      <w:r>
        <w:rPr>
          <w:rFonts w:ascii="Times New Roman" w:cs="Times New Roman" w:eastAsia="Times New Roman" w:hAnsi="Times New Roman"/>
          <w:sz w:val="18"/>
          <w:szCs w:val="18"/>
          <w:color w:val="auto"/>
        </w:rPr>
        <w:t>. If any “control share acquisition,” “fair price” or other anti-takeover laws or regulations enacted under state or federal law becomes or is deemed to become applicable to the Company, the Merger or any other transactions contemplated hereby, then the Company, the Company Board or an appropriate committee thereof, as applicable, shall grant such approvals and take such actions as are necessary so that the Merger and other transactions contemplated hereby may be consummated as promptly as practicable on the terms contemplated hereby and otherwise use commercially reasonable efforts to render the restrictions imposed by such statute (or the relevant provisions thereof) inapplicable to the foregoing.</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Director and Officer Liability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For a period of six (6) years after the Closing, Parent shall cause the Surviving Corporation to honor and perform all of the obligations of the Company, to the fullest extent permissible under Applicable Law, under the Company Organizational Documents and the Organizational Documents of the Company’s Subsidiaries in effect on the date hereof, and under any indemnification or other similar agreements in effect on the date hereof that have been provided to Parent prior to the date hereof (the “</w:t>
      </w:r>
      <w:r>
        <w:rPr>
          <w:rFonts w:ascii="Times New Roman" w:cs="Times New Roman" w:eastAsia="Times New Roman" w:hAnsi="Times New Roman"/>
          <w:sz w:val="18"/>
          <w:szCs w:val="18"/>
          <w:b w:val="1"/>
          <w:bCs w:val="1"/>
          <w:color w:val="auto"/>
        </w:rPr>
        <w:t>Indemnification Agreements</w:t>
      </w:r>
      <w:r>
        <w:rPr>
          <w:rFonts w:ascii="Times New Roman" w:cs="Times New Roman" w:eastAsia="Times New Roman" w:hAnsi="Times New Roman"/>
          <w:sz w:val="18"/>
          <w:szCs w:val="18"/>
          <w:color w:val="auto"/>
        </w:rPr>
        <w:t>”), to indemnify and advance expenses to their respective directors, officers and other persons covered by such Company Organizational Documents, the Organizational Documents of the Company Subsidiaries or Indemnification Agreements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arising out of or relating to actions or omissions in such capacity at or prior to the Effective Time, including in connection with the approval of this Agreement and the transactions contemplated hereby.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Without limiting the provisions of Section 6.08(a), for a period of six (6) years after the Effective Time, Parent shall, or shall cause the Surviving Corporation to: (i) indemnify and hold harmless each Covered Person against and from any costs, fees or expenses (including attorneys’ fees), judgments, fines, losses, claims, damages, liabilities and amounts paid in settlement in connection with any claim, action, suit, proceeding or investigation, whether civil, criminal, administrative or investigative, to the extent such claim, action, suit, proceeding or investigation arises out of or pertains to: (A) any action or omission or alleged action or omission in such Covered Person’s capacity as such prior to the Effective Time, or (B) this Agreement and any of the transactions contemplated hereby; and (ii) pay in advance of the final disposition of any such claim, action, suit, proceeding or investigation the expenses (including attorneys’ fees) of any Covered Person upon receipt, to the extent required by the DGCL, of an undertaking by or on behalf of such Covered Person to repay such amount if it shall ultimately be determined that such Covered Person is not entitled to be indemnified.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Effective as of the Effective Time, the Company shall purchase, after prior consultation with Parent and at a price not to exceed three hundred percent (300%) of the amount per annum the Company paid for such insurance in its last full fiscal year prior to the date of this Agreement (the “</w:t>
      </w:r>
      <w:r>
        <w:rPr>
          <w:rFonts w:ascii="Times New Roman" w:cs="Times New Roman" w:eastAsia="Times New Roman" w:hAnsi="Times New Roman"/>
          <w:sz w:val="18"/>
          <w:szCs w:val="18"/>
          <w:b w:val="1"/>
          <w:bCs w:val="1"/>
          <w:color w:val="auto"/>
        </w:rPr>
        <w:t>Current Premiums</w:t>
      </w:r>
      <w:r>
        <w:rPr>
          <w:rFonts w:ascii="Times New Roman" w:cs="Times New Roman" w:eastAsia="Times New Roman" w:hAnsi="Times New Roman"/>
          <w:sz w:val="18"/>
          <w:szCs w:val="18"/>
          <w:color w:val="auto"/>
        </w:rPr>
        <w:t xml:space="preserve">”), a directors’ and officers’ liability insurance “tail” or “runoff” insurance program for a period of six (6) years after the Effective Time with respect to wrongful acts and/or omissions committed or allegedly committed by Covered Persons at or prior to the Effective Time (such coverage shall have an aggregate coverage limit over the term of such policy in an amount not to exceed the annual aggregate coverage limit under the Company’s and its Subsidiaries’ existing directors’ and officers’ liability policy, and in all other material respects shall be comparable to such existing coverage). If the Company fails to timely purchase such prepaid “tail” or “runoff” policy, then either (i) Parent may purchase such “tail” or “runoff” policy on behalf of the Company or the Surviving Corporation or (ii) the Surviving Corporation may substitute therefor policies of at least the same coverage containing terms and conditions that are not less favorable with respect to matters occurring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Parent or the Surviving Corporation be required to expend pursuant to this </w:t>
      </w:r>
      <w:r>
        <w:rPr>
          <w:rFonts w:ascii="Times New Roman" w:cs="Times New Roman" w:eastAsia="Times New Roman" w:hAnsi="Times New Roman"/>
          <w:sz w:val="18"/>
          <w:szCs w:val="18"/>
          <w:u w:val="single" w:color="auto"/>
          <w:color w:val="auto"/>
        </w:rPr>
        <w:t>Section 6.08(c)</w:t>
      </w:r>
      <w:r>
        <w:rPr>
          <w:rFonts w:ascii="Times New Roman" w:cs="Times New Roman" w:eastAsia="Times New Roman" w:hAnsi="Times New Roman"/>
          <w:sz w:val="18"/>
          <w:szCs w:val="18"/>
          <w:color w:val="auto"/>
        </w:rPr>
        <w:t xml:space="preserve"> more than an amount per year equal to three hundred percent (300%) of the Current Premiums and if such premiums for such insurance would at any time exceed three hundred percent (300%) of the Current Premiums of such insurance programs, then Parent or the Surviving Corporation shall cause to be maintained policies of insurance that, in Parent’s or the Surviving Corporation’s good faith judgement, provide the maximum coverage available at an annual premium equal to three hundred percent (300%) of the Current Premiums.</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In the event, during the period six (6) years after the Effective Time, the Surviving Corporation or any of its successors or assigns</w:t>
      </w:r>
    </w:p>
    <w:p>
      <w:pPr>
        <w:spacing w:after="0" w:line="21" w:lineRule="exact"/>
        <w:rPr>
          <w:sz w:val="20"/>
          <w:szCs w:val="20"/>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consolidates with or merges into any other Person and shall not be the continuing or surviving corporation or entity of such consolidation or merger or</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all or substantially all of its properties and assets to any Person, then and in each such case, Parent shall use commercially reasonable efforts to cause such continuing or surviving corporation or entity or transferee of such assets, as the case may be, to assume all of the applicable obligations set forth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             The Covered Persons (and their successors and heirs) are intended third party beneficiaries of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 xml:space="preserve"> shall not be amended in a manner that is adverse to the Covered Persons (or their successors or heirs) or terminated without the prior written consent of the Covered Persons (or their successors or heirs) affected thereby.</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Upon the terms and subject to the conditions set forth in this Agreement, and subject to any different standard set forth herein with respect to any covenant or obligation, Parent and Merger Sub shall (and shall cause their respective Subsidiaries to, if applicable), on the one hand, and the Company shall (and shall cause its Subsidiaries to, if applicable),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the transactions contemplated hereby, as promptly as practicable, and in any event prior to the End Date, including by (A) obtaining all consents, licenses, permits, waivers, clearances, approvals, Orders and authorizations required to be obtained from any Governmental Authority and (B) making all required registrations, declarations and filings with any Governmental Authority, in each case that are necessary or advisable to consummate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6.09(a)</w:t>
      </w:r>
      <w:r>
        <w:rPr>
          <w:rFonts w:ascii="Times New Roman" w:cs="Times New Roman" w:eastAsia="Times New Roman" w:hAnsi="Times New Roman"/>
          <w:sz w:val="18"/>
          <w:szCs w:val="18"/>
          <w:color w:val="auto"/>
        </w:rPr>
        <w:t xml:space="preserve"> shall not apply to any applications or filings required under any applicable Antitrust Law, including the HSR Act, or any CFIUS Declaration or CFIUS Notice, which shall be governed by </w:t>
      </w:r>
      <w:r>
        <w:rPr>
          <w:rFonts w:ascii="Times New Roman" w:cs="Times New Roman" w:eastAsia="Times New Roman" w:hAnsi="Times New Roman"/>
          <w:sz w:val="18"/>
          <w:szCs w:val="18"/>
          <w:u w:val="single" w:color="auto"/>
          <w:color w:val="auto"/>
        </w:rPr>
        <w:t>Section 6.09(b)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6.09(c)</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Each of Parent and Merger Sub, on the one hand, and the Company, on the other hand, shall (and shall cause their respective Subsidiaries, if applicable, to) (i) make or cause to be made the applications or filings required to be made by Parent, Merger Sub or the Company or any of their respective Subsidiaries, as applicable, under or with respect to all applicable Antitrust Laws, including the HSR Act, within twenty (20) Business Days after the date hereof and (ii) (A) submit jointly to CFIUS a CFIUS Declaration in respect of the Merger as promptly as practicable after the date of this Agreement, and (B) provide any supplemental information and other related information requested by CFIUS pursuant to the DPA as soon as reasonably practicable (and, in any case, within the time periods allotted). Unless otherwise agreed in writing by the Parent and the Company, the parties shall seek early termination of the waiting period with respect to any filings under the HSR Act.</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If CFIUS is unable to complete action under the DPA with respect to the Merger on the basis of a CFIUS Declaration, or if CFIUS should request that the parties submit a CFIUS Notice following its assessment of a CFIUS Declaration, the parties shall as promptly as reasonably practicable (i) prepare and submit a draft CFIUS Notice pursuant to the DPA, and (ii) after prompt resolution of all questions and comments received from CFIUS on such draft CFIUS Notice, prepare and submit the final CFIUS Notice, which shall in any event be made promptly after the date all questions and comments received from CFIUS on such draft have been resolved or after CFIUS staff shall have indicated to the parties that it has no questions or comments. During any review or investigation in connection with the CFIUS Notice, the parties shall use their reasonable best efforts to provide any supplemental information and other related information requested by CFIUS pursuant to the DPA as soon as reasonably practicable (and, in any case, within the time periods allotted).</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Without limiting any of the foregoing, each party hereto shall (and shall cause its respective Affiliates to) use its reasonable best efforts, subject to the terms and conditions of this Agreement, to obtain CFIUS Clearance as promptly as practicable after the date hereof, and each of Parent and the Company shall (i) allow each other to have an opportunity to review in advance and comment on drafts of filings and submissions, subject to redactions of information reasonably determined by such party to be confidential, (ii) inform each other of any communication received by such party from, or given by such party to, CFIUS, by promptly providing copies to the other of any such written communications, except for any exhibits to such communications providing the personal identifying information required by 31 C.F.R. § 800.502(c)(5)(vi), any communications that are otherwise requested by CFIUS to remain confidential from the other party or information reasonably determined by such party to be confidential, (iii) permit each other to review in advance any written or oral communication that such party gives to CFIUS, except for any communications that are requested by CFIUS to remain confidential from the other party or information reasonably determined by such party to be confidential, reasonably consulting with the other in advance of any meeting, telephone call or conference with CFIUS, and to the extent not prohibited by CFIUS, giving the other the opportunity to attend and participate in any telephonic conferences or in-person meetings with CFIUS. Notwithstanding the foregoing or anything to the contrary contained in this Agreement, in the event of a CFIUS Turndown, the Company or Parent may, in its discretion, request a withdrawal of the CFIUS Notice filed with CFIUS in connection with the CFIUS Clearance, none of the parties hereto shall have any further obligation to seek CFIUS Clearance and this Agreement may be terminated in accordance with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Parent and the Company shall, and shall cause their respective Subsidiaries to, (i) reasonably cooperate and coordinate with the other party in connection with the other party’s applications, filings or submissions with respect to the HSR Act; (ii) give the other party a reasonable opportunity to review any such applications, filings or submissions; (iii) promptly inform the other party of the occurrence and contents of any substantive oral communications from, and promptly provide to the other party copies of any substantive written communications from, any Governmental Authority in respect of such filings, applications or submissions; (iv) provide the other party with drafts of any substantive written communications to any Governmental Authority in respect of such filings, applications or submissions and give the other party a reasonable opportunity to review such draft communications; and (v) provide to the other party such necessary information and reasonable assistance as the other party may reasonably request, including with respect to any requests for additional information, documents or other materials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of the Company, Parent and Merger Sub may designate any non-public or competitively sensitive information (including trade secrets) provided to any Governmental Authority with respect to the HSR Act as restricted to “outside counsel only” and any such information shall not be shared with employees, officers or directors or their equivalents of Parent or Merger Sub, without approval of the Company, if the Company is providing the non-public or competitively sensitive information, or to the Company, without approval of Parent, if Parent or Merger Sub is providing the non-public or competitively sensitive information, and none of the Company, Parent and Merger Sub shall be required to share information that is entitled to legal privilege with the other parties, even on an “outside counsel only” basis, where this would cause such information to cease to be entitled to legal privilege. To the extent reasonably practicable, each party agrees not to participate, or to permit their respective Subsidiaries or Representatives to participate, in any substantive meeting or discussion, either in person or by telephone, with any Governmental Authority with respect to HSR Act applications, filings or submissions unless it consults with the other party in advance and, to the extent not prohibited by such Governmental Authority, gives the other party the opportunity to attend and participate.</w:t>
      </w: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Notwithstanding anything in this Agreement to the contrary, no party nor any of its respective Affiliates will be required, either pursuant to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or otherwise, to (and, without Parent’s prior written consent, the Company and its Affiliates and Representatives will not) (i) negotiate, commit to or effect, by consent decree, hold separate order or otherwise, the sale, lease, license, divestiture or disposition of any assets, rights, product lines or businesses of such party or any of its respective Affiliates, (ii) terminate any existing relationships, contractual rights or obligations of such party or any of its respective Affiliates, (iii) terminate any joint venture or other arrangement, (iv) create any relationship, contractual rights or obligations of such party or any of its respective Affiliates, (v) effectuate any other change or restructuring of such party or any of its respective Affiliates, (vi) otherwise take or commit to take any actions, including agreeing to prior approval restrictions, with respect to the businesses, product lines or assets of such party or any of its respective Affiliates, or (vii) enter into litigation to overturn or challenge any governmental determination or action.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If consent of the counterparty to a Material Contract is required under the terms thereof in connection with the Merger or the other transactions contemplated by this Agreement (other than the transactions contemplated by Section 6.01(c) of the Company Disclosure Letter), then as promptly as practicable after the date hereof, the Company shall give any notices to such counterparties and shall use commercially reasonable efforts to obtain such consents or waivers with respect to Material Contracts to which the Company or any of its Subsidiaries is a party (which the parties acknowledge may or may not be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any Party be required to, and in no event shall the Company prior to the Effective Time, without the prior written consent of Parent (not to be unreasonably withheld, conditioned or delayed), pay any fee, penalty or other consideration or make any accommodation to any Third Party to obtain any consent, approval or waiver required with respect to any such Material Contract. The Company shall, at Parent’s request, obtain payoff instructions and a customary payoff letter in connection with the repayment and termination of the Company Credit Facility and any other Contract providing for Indebtedness for borrowed money and any Liens resulting therefrom.</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(h)           If any Proceeding is instituted (or threatened to be instituted) by a Governmental Authority challenging the transactions contemplated hereby as violative of any Applicable Law, each of the parties hereto shall, and shall cause their respective Affiliates to, cooperate and use commercially reasonable efforts to contest and resist any such Proceeding, including any Proceeding that seeks a temporary restraining order or preliminary injunction that would prohibit, prevent or restrict consummation of the transactions contemplated hereby.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(i)             On the date hereof, Parent shall vote (or act by written consent with respect to) all of the shares of capital stock of Merger Sub in favor of the adoption of this Agreement in accordance with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Public Announcements</w:t>
      </w:r>
      <w:r>
        <w:rPr>
          <w:rFonts w:ascii="Times New Roman" w:cs="Times New Roman" w:eastAsia="Times New Roman" w:hAnsi="Times New Roman"/>
          <w:sz w:val="18"/>
          <w:szCs w:val="18"/>
          <w:color w:val="auto"/>
        </w:rPr>
        <w:t xml:space="preserve">. Neither the Company nor Parent, nor any of their respective controlled Affiliates, shall issue or cause the publication of any press release or other announcement with respect to the Merger or this Agreement without the prior consent of the other party (which consent shall not be unreasonably withheld, conditioned or delayed), unless such party determines, after consultation with counsel, that it is required by Applicable Law, Proceeding, or by any listing agreement with or the listing rules of a national securities exchange or trading market to issue or cause the publication of any press release or other announcement with respect to the Merger or this Agreement, in which event such party shall endeavor, on a basis reasonable under the circumstances, to provide an opportunity to the other party to review and comment upon such press release or other announcement;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foregoing, the Company shall not be required to consult with Parent before issuing any press release or making any other public statement with respect to an Adverse Recommendation Change effected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neither the Company, on the one hand, nor Parent or the Merger Sub, on the other hand, shall be required to consult with the other before issuing any press release or making any other public statement with respect to the termination of this Agreement or the effects or consequences thereof or any Proceeding between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party hereto and their respective controlled Affiliates may make disclosures or statements that are substantially the same as previous press releases, public disclosures or public statements made by Parent and the Company in compliance with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do not contain any information relating to the Company, Parent or the transactions contemplated by this Agreement that has not been previously announced or made public in accordance with the terms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Prior to either party making any written communications to the employees of the Company or any of its Subsidiaries pertaining to employment, compensation or benefit matters that are affected by the transactions contemplated by this Agreement, each party shall provide the other party with a copy of the intended communication, the other party shall have a reasonable period of time to review and comment on the communication, and the parties shall cooperate in providing any such mutually agreeable communication. The Company shall use commercially reasonable efforts to facilitate a reasonable number of meetings, at reasonable times and upon reasonable advance notice, between Parent and the employees of the Company or any of its Subsidiaries as Parent may request from time to time for purposes of discussing matters related to post-Closing employment of such employees.</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Section 16 Matters</w:t>
      </w:r>
      <w:r>
        <w:rPr>
          <w:rFonts w:ascii="Times New Roman" w:cs="Times New Roman" w:eastAsia="Times New Roman" w:hAnsi="Times New Roman"/>
          <w:sz w:val="18"/>
          <w:szCs w:val="18"/>
          <w:color w:val="auto"/>
        </w:rPr>
        <w:t xml:space="preserve">. Parent and the Company agree that, in order to most effectively compensate and retain those officers and directors of the Company who are subject to the reporting requirements of Section 16(a) of the Exchange Act in connection with the Merger, prior to and after the Effective Time, it is desirable that such Persons not be subject to a risk of liability under Section 16(b) of the Exchange Act to the fullest extent permitted by Applicable Law in connection with the transactions contemplated by this Agreement and, for that compensatory and retentive purpose, agree to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Accordingly, promptly after the date hereof, the Company shall take all such steps as may be required to cause any dispositions of shares of Company Common Stock resulting from the transactions contemplated by this Agreement by each individual who is a director or officer of the Company subject to the reporting requirements of Section 16(a) of the Exchange Act with respect to the Company to be exempt under Rule 16b-3 promulgated under the Exchange Act, to the extent permitted by Applicable Law.</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Parent and the Company hereby acknowledge and agree to continue to be bound by the letter agreement dated as of June 10, 2025, between Parent and the Company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 the actions taken by Parent, Merger Sub or their Affiliates or their respective Representatives required by or in connection with this Agreement shall not be deemed to be a violation of the Confidentiality Agreement, and (b) the confidentiality, non-disclosure and use restrictions on Parent and its Affiliates and Representatives under the Confidentiality Agreement shall terminate upon the Closing.</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Transaction Litigation</w:t>
      </w:r>
      <w:r>
        <w:rPr>
          <w:rFonts w:ascii="Times New Roman" w:cs="Times New Roman" w:eastAsia="Times New Roman" w:hAnsi="Times New Roman"/>
          <w:sz w:val="18"/>
          <w:szCs w:val="18"/>
          <w:color w:val="auto"/>
        </w:rPr>
        <w:t>. Between the date hereof and the Effective Time, the Company will provide Parent with prompt notice of all Transaction Litigation (including by providing copies of all pleadings, demand letters and other correspondence with respect thereto) and keep Parent reasonably informed with respect to the status thereof. Subject to the preservation of privilege and confidential information (it being understood and agreed that the Company shall use commercially reasonable efforts to make reasonable alternative arrangements that would not result in the loss of privilege, including entering into a joint defense agreement in customary form), the Company will (a) give Parent the opportunity to participate in (but not control) the defense, settlement or prosecution of any Transaction Litigation; and (b) consult with Parent with respect to the defense, settlement and prosecution of any Transaction Litigation. The Company shall not compromise, settle or come to an arrangement regarding, or agree to compromise, settle or come to an arrangement regarding, any Transaction Litigation unless Parent has consented thereto in writing (which consent will not be unreasonably withheld, conditioned or delayed).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i w:val="1"/>
          <w:iCs w:val="1"/>
          <w:color w:val="auto"/>
        </w:rPr>
        <w:t>Stock Exchange Delisting</w:t>
      </w:r>
      <w:r>
        <w:rPr>
          <w:rFonts w:ascii="Times New Roman" w:cs="Times New Roman" w:eastAsia="Times New Roman" w:hAnsi="Times New Roman"/>
          <w:sz w:val="18"/>
          <w:szCs w:val="18"/>
          <w:color w:val="auto"/>
        </w:rPr>
        <w:t>. The Company shall cooperate with any reasonable request of Parent, and in respect thereof use commercially reasonable efforts to take or cause to be taken all actions, and do or cause to be done all things, reasonably necessary, proper or advisable on its part under Applicable Law and rules and policies of NASDAQ to enable delisting by the Surviving Corporation of the Company Common Stock from NASDAQ and the deregistration of the Company Common Stock under the Exchange Act as promptly as practicable after the Effective Time (and, in any event, within ten (10) days after the Closing Date).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i w:val="1"/>
          <w:iCs w:val="1"/>
          <w:color w:val="auto"/>
        </w:rPr>
        <w:t>No Control of the Other Party’s Business</w:t>
      </w:r>
      <w:r>
        <w:rPr>
          <w:rFonts w:ascii="Times New Roman" w:cs="Times New Roman" w:eastAsia="Times New Roman" w:hAnsi="Times New Roman"/>
          <w:sz w:val="18"/>
          <w:szCs w:val="18"/>
          <w:color w:val="auto"/>
        </w:rPr>
        <w:t>. The parties acknowledge and agree that the restrictions set forth in this Agreement are not intended to give Parent or Merger Sub, on the one hand, or the Company or its Subsidiaries, on the other hand, directly or indirectly, the right to control or direct the business or operations of the other at any time prior to the Effective Time. Prior to the Effective Time, each of Parent, Merger Sub and the Company and its Subsidiaries shall exercise, consistent with the terms, conditions and restrictions of this Agreement, complete control and supervision over their own respective business and operations.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7"/>
          <w:szCs w:val="17"/>
          <w:color w:val="auto"/>
        </w:rPr>
        <w:t xml:space="preserve">Section 7.01            </w:t>
      </w:r>
      <w:r>
        <w:rPr>
          <w:rFonts w:ascii="Times New Roman" w:cs="Times New Roman" w:eastAsia="Times New Roman" w:hAnsi="Times New Roman"/>
          <w:sz w:val="17"/>
          <w:szCs w:val="17"/>
          <w:i w:val="1"/>
          <w:iCs w:val="1"/>
          <w:color w:val="auto"/>
        </w:rPr>
        <w:t>Conditions to the Obligations of Each Party</w:t>
      </w:r>
      <w:r>
        <w:rPr>
          <w:rFonts w:ascii="Times New Roman" w:cs="Times New Roman" w:eastAsia="Times New Roman" w:hAnsi="Times New Roman"/>
          <w:sz w:val="17"/>
          <w:szCs w:val="17"/>
          <w:color w:val="auto"/>
        </w:rPr>
        <w:t>. The respective obligations of the Company, Parent and Merger Sub to consummate the Merger are subject to the satisfaction of or, to the extent permitted by Applicable Law, waiver of, at or prior to the Closing, the following conditions:</w:t>
      </w: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Company Stockholder Approval shall have been obtained;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 Governmental Authority having jurisdiction over any party hereto shall have issued any Order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applicable waiting period (and any extension thereof, subject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applicable to the Merger under any applicable Antitrust Law, including the HSR Act, shall have expired or been terminated;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parties shall have received CFIUS Clearance.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Conditions to the Obligations of Parent and Merger Sub</w:t>
      </w:r>
      <w:r>
        <w:rPr>
          <w:rFonts w:ascii="Times New Roman" w:cs="Times New Roman" w:eastAsia="Times New Roman" w:hAnsi="Times New Roman"/>
          <w:sz w:val="18"/>
          <w:szCs w:val="18"/>
          <w:color w:val="auto"/>
        </w:rPr>
        <w:t>. The obligation of Parent and Merger Sub to consummate the Merger is subject to the satisfaction of, or, to the extent permitted by Applicable Law, waiver by Parent of, at or prior to the Closing,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the representations and warranties of the Company set forth in: (i)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Good 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 Fairness Opinion; Anti-Takeover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Brokers’ Fees</w:t>
      </w:r>
      <w:r>
        <w:rPr>
          <w:rFonts w:ascii="Times New Roman" w:cs="Times New Roman" w:eastAsia="Times New Roman" w:hAnsi="Times New Roman"/>
          <w:sz w:val="18"/>
          <w:szCs w:val="18"/>
          <w:color w:val="auto"/>
        </w:rPr>
        <w:t xml:space="preserve"> ) shall be true and correct in all respects (except for failures to be true and correct that are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minimis</w:t>
      </w:r>
      <w:r>
        <w:rPr>
          <w:rFonts w:ascii="Times New Roman" w:cs="Times New Roman" w:eastAsia="Times New Roman" w:hAnsi="Times New Roman"/>
          <w:sz w:val="18"/>
          <w:szCs w:val="18"/>
          <w:color w:val="auto"/>
        </w:rPr>
        <w:t>) as of the date of this Agreement and as of the Closing Date as though made on and as of such date (except for any representation or warranty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expressly made as of a specified date, in which case such representation or warranty shall be so true and correct only as of such specified date), and (ii)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(other than the representations and warranties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true and correct (disregarding all qualifications or limitations as to “materiality,” “Company Material Adverse Effect” and words of similar import set forth therein) as of the date of this Agreement and as of the Closing Date as though made on and as such date (except for any such representation or warranty that is expressly made as of a specified date, in which case such representation or warranty shall be so true and correct only as of such specified date), except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only, where the failure of such representations and warranties to be so true and correct has not had and would not reasonably be expected to have, individually or in the aggregate, a Company Material Adverse Effect;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the Company shall have performed and complied in all material respects with all covenants required to be performed or complied with by the Company under this Agreement on or prior to the Closing Date;</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since the date of this Agreement, no Company Material Adverse Effect (or any change, event, effect, development, condition, occurrence or circumstance that would reasonably be expected to have, individually or in the aggregate, a Company Material Adverse Effect) shall have occurred;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(d)            Parent shall have received at the Closing a certificate signed on behalf of the Company by an authorized officer of the Company certifying that the conditions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have been satisfied.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Conditions to the Obligations of the Company</w:t>
      </w:r>
      <w:r>
        <w:rPr>
          <w:rFonts w:ascii="Times New Roman" w:cs="Times New Roman" w:eastAsia="Times New Roman" w:hAnsi="Times New Roman"/>
          <w:sz w:val="18"/>
          <w:szCs w:val="18"/>
          <w:color w:val="auto"/>
        </w:rPr>
        <w:t>. The obligation of the Company to consummate the Merger is subject to the satisfaction of, or, to the extent permitted by Law, waiver by the Company of, at or prior to the Closing, the following conditions: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the representations and warranties of Parent and Merger Sub set forth in (i)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shall be true and correct in all respects (except for failures to be true and correct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as of the date of this Agreement and as of the Closing Date as though made on and as of such date (except for any representation or warranty that is expressly made as of a specified date, in which case such representation or warranty shall be so true and correct only as of such specified date) and (ii)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the representations and warranties referred to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shall be true and correct (disregarding all qualifications or limitations as to “materiality,” “material adverse effect” and words of similar import set forth therein) as of the date of this Agreement and as of the Closing Date as though made on and as of such date (except to the extent any such representation or warranty expressly relates to a specified date, in which case such representation or warranty shall be so true and correct only on and as of such specific date), except where the failure of such representations and warranties to be so true and correct has not had and would not reasonably be expected to have, individually or in the aggregate, a material adverse effect on the ability of Parent and Merger Sub to consummate the Merger and the other transactions contemplated herein;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296"/>
        <w:spacing w:after="0" w:line="250" w:lineRule="auto"/>
        <w:rPr>
          <w:sz w:val="20"/>
          <w:szCs w:val="20"/>
          <w:color w:val="auto"/>
        </w:rPr>
      </w:pPr>
      <w:r>
        <w:rPr>
          <w:rFonts w:ascii="Times New Roman" w:cs="Times New Roman" w:eastAsia="Times New Roman" w:hAnsi="Times New Roman"/>
          <w:sz w:val="18"/>
          <w:szCs w:val="18"/>
          <w:color w:val="auto"/>
        </w:rPr>
        <w:t>(b)            Parent and Merger Sub shall have performed and complied in all material respects with all covenants required to be performed or complied with by Parent or Merger Sub under this Agreement on or prior to the Closing Date; and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Company shall have received at the Closing a certificate signed on behalf of Parent by any authorized officer of Parent certifying that the conditions set forth in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have been satisfied.</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Frustration of Conditions</w:t>
      </w:r>
      <w:r>
        <w:rPr>
          <w:rFonts w:ascii="Times New Roman" w:cs="Times New Roman" w:eastAsia="Times New Roman" w:hAnsi="Times New Roman"/>
          <w:sz w:val="18"/>
          <w:szCs w:val="18"/>
          <w:color w:val="auto"/>
        </w:rPr>
        <w:t xml:space="preserve">. Neither Parent nor Merger Sub may rely, as a basis for not consummating the Merger or the other transactions contemplated by this Agreement, on the failure of any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satisfied if such failure was caused by the material breach by Parent or Merger Sub of any provision of this Agreement (including for these purposes the failure by the Parent or the Merger Sub to take any actions which would result in the Company being unable to take the actions contemplated by Section 6.01(c) of the Company Disclosure Letter). The Company may not rely, as a basis for not consummating the Merger or the other transactions contemplated by this Agreement, on the failure of any conditions set forth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be satisfied if such failure was caused by the material breach by the Company of any provision of this Agreement.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may be terminated and the Merger may be abandoned, whether before or after the Company Stockholder Approval has been obtained (except as otherwise provided below), at any time prior to the Effective Time: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consent of Parent and the Company;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by either Parent or the Company, upon written notice to the other party, if there is a CFIUS Turndown;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(c)             by either Parent or the Company, upon written notice to the other party, if the Merger has not been consummated on or before June 22, 2026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such date, all of the Conditions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have been satisfied or (to the extent permitted by Applicable Law) waived, other than (i) (A) those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(solely with respect to Antitrust Laws, including the HSR Act, or CFIUS),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(B) the Stockholders’ Meeting shall not yet have occurred and the Company Stockholder Approval shall not yet have been obtained solely as a result of the conditions set forth in Section 8.01(c)(i)(A) having not been satisfied and (C) those actions contemplated by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 xml:space="preserve"> of the Company Disclosure Letter shall not yet have occurred, and (ii) those conditions that by their terms are to be satisfied at Closing, which conditions shall be capable of being satisfied at such time, then the End Date shall be automatically extended until October 20, 2026 (and such date shall thereafter be the End Date for all purposes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8.01(c)</w:t>
      </w:r>
      <w:r>
        <w:rPr>
          <w:rFonts w:ascii="Times New Roman" w:cs="Times New Roman" w:eastAsia="Times New Roman" w:hAnsi="Times New Roman"/>
          <w:sz w:val="18"/>
          <w:szCs w:val="18"/>
          <w:color w:val="auto"/>
        </w:rPr>
        <w:t xml:space="preserve"> shall not be available (1) to any party whose material breach of any provision of this Agreement has caused the failure to consummate the Merger on or prior to the End Date or (2) to either party until five (5) Business Days after the completion of the Stockholders’ Meeting (including after any postponement, recess or adjournment thereof taken in accordance with this Agreement) if, prior to the End Date, those conditions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 xml:space="preserve"> (solely with respect to Antitrust Laws, including the HSR Act, or CFIUS),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have been satisfied or (to the extent permitted by Applicable Law) waived;</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 xml:space="preserve">(d)            by either Parent or the Company, upon written notice to the other party, if any Governmental Authority of competent jurisdiction shall have issued a final and non-appealable Order or taken any other action permanently enjoining, restraining or otherwise prohibiting the consummation of the Merger;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party seeking to terminate this Agreement pursuant to this </w:t>
      </w:r>
      <w:r>
        <w:rPr>
          <w:rFonts w:ascii="Times New Roman" w:cs="Times New Roman" w:eastAsia="Times New Roman" w:hAnsi="Times New Roman"/>
          <w:sz w:val="17"/>
          <w:szCs w:val="17"/>
          <w:u w:val="single" w:color="auto"/>
          <w:color w:val="auto"/>
        </w:rPr>
        <w:t>Section 8.01(d)</w:t>
      </w:r>
      <w:r>
        <w:rPr>
          <w:rFonts w:ascii="Times New Roman" w:cs="Times New Roman" w:eastAsia="Times New Roman" w:hAnsi="Times New Roman"/>
          <w:sz w:val="17"/>
          <w:szCs w:val="17"/>
          <w:color w:val="auto"/>
        </w:rPr>
        <w:t xml:space="preserve"> shall not have breached in any material respect its obligations under </w:t>
      </w:r>
      <w:r>
        <w:rPr>
          <w:rFonts w:ascii="Times New Roman" w:cs="Times New Roman" w:eastAsia="Times New Roman" w:hAnsi="Times New Roman"/>
          <w:sz w:val="17"/>
          <w:szCs w:val="17"/>
          <w:u w:val="single" w:color="auto"/>
          <w:color w:val="auto"/>
        </w:rPr>
        <w:t>Section 6.09</w:t>
      </w:r>
      <w:r>
        <w:rPr>
          <w:rFonts w:ascii="Times New Roman" w:cs="Times New Roman" w:eastAsia="Times New Roman" w:hAnsi="Times New Roman"/>
          <w:sz w:val="17"/>
          <w:szCs w:val="17"/>
          <w:color w:val="auto"/>
        </w:rPr>
        <w:t>, which breach is the primary cause or directly resulted in the issuance of such Order or other action;</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(e)            by either Parent or the Company, upon written notice to the other party, if the Stockholders’ Meeting shall have concluded (including after any postponement, recess or adjournment thereof taken in accordance with this Agreement) and the Company Stockholder Approval shall not have been obtained thereat;</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by Parent, upon written notice to the Company, in the event of a breach by the Company of any representation, warranty, covenant or other agreement contained herein that (i) would result in any condition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not being satisfied and (ii) has not been cured prior to the earlier of the End Date or the thirtieth (30th) calendar day following Parent’s delivery of written notice of such breach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terminate this Agreement pursuant to this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if, at the time of such termination, either Parent of Merger Sub is then in breach of any representation, warranty, covenant or agreement contained in this Agreement such that a condition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would not be satisfied;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(g)            by the Company, upon written notice to Parent, in the event of a breach by Parent or Merger Sub of any representation, warranty, covenant or other agreement contained herein that (i) would result in any condition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not being satisfied and (ii) has not been cured prior to the earlier of the End Date or the thirtieth (30th) calendar day following the Company’s delivery of written notice describing such breach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entitled to terminate this Agreement pursuant to this </w:t>
      </w:r>
      <w:r>
        <w:rPr>
          <w:rFonts w:ascii="Times New Roman" w:cs="Times New Roman" w:eastAsia="Times New Roman" w:hAnsi="Times New Roman"/>
          <w:sz w:val="18"/>
          <w:szCs w:val="18"/>
          <w:u w:val="single" w:color="auto"/>
          <w:color w:val="auto"/>
        </w:rPr>
        <w:t>Section 8.01(g)</w:t>
      </w:r>
      <w:r>
        <w:rPr>
          <w:rFonts w:ascii="Times New Roman" w:cs="Times New Roman" w:eastAsia="Times New Roman" w:hAnsi="Times New Roman"/>
          <w:sz w:val="18"/>
          <w:szCs w:val="18"/>
          <w:color w:val="auto"/>
        </w:rPr>
        <w:t xml:space="preserve"> if, at the time of such termination, the Company is then in breach of any representation, warranty, covenant or agreement contained in this Agreement such that a condition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would not be satisfied;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(h)            by Parent, upon written notice to the Company, if (i) the Company Board or any committee thereof shall have effected an Adverse Recommendation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exercise of such termination right by Parent must occur within ten (10) days following such Adverse Recommendation Change, or (ii) the Company has breached its obligations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in any material respect; 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(i)             by the Company, upon written notice to Parent, if (i) prior to obtaining the Company Stockholder Approval, the Company Board shall have effected an Adverse Recommendation Change in order to enter into an Alternative Acquisition Agreement providing for a Superior Proposal in accordance with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(ii) the Company has complied in all material respects with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and (iii) the Company pays to Parent the Company Termination Fee in accordance with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as applicable.</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Effect of Termination; Payment of Termination Fee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If this Agreement is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this Agreement shall become void and of no effect without liability of any party (or any Representative of such party) to each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Confidentiality Agreement,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any termination hereof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Notwithstanding anything to the contrary provided in this Agreement, including in the foregoing provisions of this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nothing shall relieve any party hereto from liability for a Willful Breach prior to such termination.</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17"/>
          <w:szCs w:val="17"/>
          <w:color w:val="auto"/>
        </w:rPr>
        <w:t xml:space="preserve">(b)            In the event that this Agreement is terminated by the Company pursuant to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 xml:space="preserve"> (Superior Proposal) and neither Parent nor Merger Sub is in material breach of this Agreement at the time of such termination, then the Company shall pay Parent the Company Termination Fee by wire transfer of same-day funds to an account designated by Parent, immediately prior to or substantially concurrently with such termination.</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In the event that: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this Agreement is terminated (A) by Parent pursuant to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Recommendation Change</w:t>
      </w:r>
      <w:r>
        <w:rPr>
          <w:rFonts w:ascii="Times New Roman" w:cs="Times New Roman" w:eastAsia="Times New Roman" w:hAnsi="Times New Roman"/>
          <w:sz w:val="18"/>
          <w:szCs w:val="18"/>
          <w:color w:val="auto"/>
        </w:rPr>
        <w:t xml:space="preserve">) or (B) by Parent or the Company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Company Stockholder Approval</w:t>
      </w:r>
      <w:r>
        <w:rPr>
          <w:rFonts w:ascii="Times New Roman" w:cs="Times New Roman" w:eastAsia="Times New Roman" w:hAnsi="Times New Roman"/>
          <w:sz w:val="18"/>
          <w:szCs w:val="18"/>
          <w:color w:val="auto"/>
        </w:rPr>
        <w:t xml:space="preserve">) if, at the time of such termination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Parent would have been entitled to terminate this Agreement pursuant to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(Adverse Recommendation Change) and, in either case, neither Parent nor Merger Sub is in material breach of this Agreement at the time of such termination; or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(A) this Agreement is terminated by (1) Parent or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(but in the case of termination by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only if at such time Parent had the right to terminate this Agreement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(2) Parent or the Company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Company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or (3) Parent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(B) prior to (1) such termination, in the case of a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(End Date) or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Breach</w:t>
      </w:r>
      <w:r>
        <w:rPr>
          <w:rFonts w:ascii="Times New Roman" w:cs="Times New Roman" w:eastAsia="Times New Roman" w:hAnsi="Times New Roman"/>
          <w:sz w:val="18"/>
          <w:szCs w:val="18"/>
          <w:color w:val="auto"/>
        </w:rPr>
        <w:t xml:space="preserve">), or (2) the Stockholders’ Meeting, in the case of a termination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(Failure to Obtain Company Stockholder Approval), an Acquisition Proposal shall have been made publicly or to the Company Board, and not publicly withdrawn; (C) within nine (9) months of the date this Agreement is terminated the Company consummates or enters into a definitive agreement for an Acquisition Proposal (whether or not such Acquisition Proposal is subsequently consummated); and (D) neither Parent nor Merger Sub is in material breach of this Agreement at the time of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all percentages in the definition of Acquisition Proposal shall be replaced with fifty percent (50%);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the Company shall pay Parent the Company Termination Fee by wire transfer of same-day funds to an account designated by Parent (A) in the case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8.02(c)(i)</w:t>
      </w:r>
      <w:r>
        <w:rPr>
          <w:rFonts w:ascii="Times New Roman" w:cs="Times New Roman" w:eastAsia="Times New Roman" w:hAnsi="Times New Roman"/>
          <w:sz w:val="18"/>
          <w:szCs w:val="18"/>
          <w:color w:val="auto"/>
        </w:rPr>
        <w:t xml:space="preserve">, within two (2) Business Days after such termination or (B) in the case of </w:t>
      </w:r>
      <w:r>
        <w:rPr>
          <w:rFonts w:ascii="Times New Roman" w:cs="Times New Roman" w:eastAsia="Times New Roman" w:hAnsi="Times New Roman"/>
          <w:sz w:val="18"/>
          <w:szCs w:val="18"/>
          <w:u w:val="single" w:color="auto"/>
          <w:color w:val="auto"/>
        </w:rPr>
        <w:t>Section 8.02(c)(ii)</w:t>
      </w:r>
      <w:r>
        <w:rPr>
          <w:rFonts w:ascii="Times New Roman" w:cs="Times New Roman" w:eastAsia="Times New Roman" w:hAnsi="Times New Roman"/>
          <w:sz w:val="18"/>
          <w:szCs w:val="18"/>
          <w:color w:val="auto"/>
        </w:rPr>
        <w:t xml:space="preserve"> on the earlier of the date that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consummates or enters into a definitive agreement for the Acquisition Proposal (or no later than the next Business Day if such event occurs on a day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 the event that: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this Agreement is terminated by Parent or the Company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CFIUS Turndown</w:t>
      </w:r>
      <w:r>
        <w:rPr>
          <w:rFonts w:ascii="Times New Roman" w:cs="Times New Roman" w:eastAsia="Times New Roman" w:hAnsi="Times New Roman"/>
          <w:sz w:val="18"/>
          <w:szCs w:val="18"/>
          <w:color w:val="auto"/>
        </w:rPr>
        <w:t>) and the Company is not in material breach of this Agreement at the time of such termination; 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this Agreement is terminated by Parent or the Company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(but in the case of termination by Parent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only if at such time the Company had the right to terminate this Agreement pursuant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and at the time of such termination, (A) one or more of the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(solely with respect to CFIUS),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has not been satisfied, (B) the conditions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have been satisfied (other than those conditions that by their nature are to be satisfied at the Closing, but which are capable of being satisfied at the Closing) or waived, and (C) no breach by the Company of its obligations under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has been the primary cause of the failure to be satisfied of all or any of the conditions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(D) the Company is not in material breach of this Agreement at the time of such termination;</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at the Company’s option, which the Company may exercise in its sole discretion, (1) Parent and the Company shall, concurrently with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cause the execution and delivery of an amendment to the license agreement between Nathan’s Famous Systems, Inc., a Subsidiary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and a Subsidiary of Parent, dated December 5, 2012,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License Extension</w:t>
      </w:r>
      <w:r>
        <w:rPr>
          <w:rFonts w:ascii="Times New Roman" w:cs="Times New Roman" w:eastAsia="Times New Roman" w:hAnsi="Times New Roman"/>
          <w:sz w:val="18"/>
          <w:szCs w:val="18"/>
          <w:color w:val="auto"/>
        </w:rPr>
        <w:t>”) and (2) Parent shall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Termination Fee by wire transfer of same-day funds to an account designated by the Company within two Business Days after the execution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License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(e)             For the avoidance of doubt, (i) the Company shall not be required to pay the Company Termination Fee on more than one occasion, (ii) Parent shall not be required to pay the Parent Termination Fee on more than one occasion and (iii) Parent shall not be required to pay the Parent Termination Fee unless the License Extension has been executed and delivered by Nathan’s Famous Systems, Inc., a Subsidiary of the Company. In the event that a party shall become entitled to receive payment of a Termination Fee pursuant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then the receipt of the Termination Fee shall be deemed to be liquidated damages for any and all losses or damages suffered or incurred by the party receiving the Termination Fee and any of its Affiliates (including Merger Sub, in the event that Parent receives the Company Termination Fee) or any other Person in connection with this Agreement (and the termination hereof), the transactions contemplated by this Agreement (and the abandonment thereof) or any matter forming the basis for such termination, the party that pays the Termination Fee shall have no further liability, whether pursuant to a claim at law or in equity, to the party receiving the Termination Fee and any of its Affiliates (including Merger Sub, in the event that Parent receives the Company Termination Fee) in connection with this Agreement (and the termination hereof), the transactions contemplated by this Agreement (and the abandonment thereof) or any matter forming the basis for such termination, and neither the party that receives the Termination Fee, nor any of its Affiliates (including Merger Sub, in the event that Parent receives the Company Termination Fee), nor any other Person shall be entitled to bring or maintain any claim, action or Proceeding against the party that pays the Termination Fee, any of its Affiliates or any of their respective directors, officers and employees for damages or any equitable relief arising out of or in connection with this Agreement (other than equitable relief to require payment of the applicable Termination Fee), any of the transactions contemplated by this Agreement or any matters forming the basis for such termination, except, in each case, with respect to liability of any such Person for a Willful Breach prior to the relevant termination.</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(f)             Each of the Company, Parent and Merger Sub acknowledges that (i) the agreements contained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reasonable and an integral part of the Agreement, (ii) without these agreements, the parties would not have entered into this Agreement and (iii) if the Company or Parent fails to pay a Termination Fee as required by this Agreement and the party owed a Termination Fee commences a suit which results in a final, non-appealable judgment against the party owing the Termination Fee for a Termination Fee or any portion thereof, then the party owing the Termination Fee shall pay the party owed the Termination Fee its costs and expenses (including attorney’s fees and disbursements) in connection with such suit, together with interest on the Termination Fee at the “prime rate” as published in The Wall Street Journal in effect on the date such payment was required to be made through the date of payment (calculated daily on the basis of a year of three hundred and sixty-five (365) days and the actual number of days elapsed, without compounding).</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 shall be in writing and shall be deemed to have been duly given (a) when delivered if delivered in person, (b)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in each case as follows:</w:t>
      </w:r>
    </w:p>
    <w:tbl>
      <w:tblPr>
        <w:tblLayout w:type="fixed"/>
        <w:tblInd w:w="0" w:type="dxa"/>
        <w:tblCellMar>
          <w:top w:w="0" w:type="dxa"/>
          <w:left w:w="0" w:type="dxa"/>
          <w:bottom w:w="0" w:type="dxa"/>
          <w:right w:w="0" w:type="dxa"/>
        </w:tblCellMar>
      </w:tblPr>
      <w:tr>
        <w:trPr>
          <w:trHeight w:val="200"/>
        </w:trPr>
        <w:tc>
          <w:tcPr>
            <w:tcW w:w="360" w:type="dxa"/>
            <w:vAlign w:val="bottom"/>
          </w:tcPr>
          <w:p>
            <w:pPr>
              <w:spacing w:after="0"/>
              <w:rPr>
                <w:sz w:val="17"/>
                <w:szCs w:val="17"/>
                <w:color w:val="auto"/>
              </w:rPr>
            </w:pPr>
          </w:p>
        </w:tc>
        <w:tc>
          <w:tcPr>
            <w:tcW w:w="1460" w:type="dxa"/>
            <w:vAlign w:val="bottom"/>
          </w:tcPr>
          <w:p>
            <w:pPr>
              <w:ind w:left="300"/>
              <w:spacing w:after="0" w:line="200" w:lineRule="exact"/>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if to Parent, Merger Sub or the Surviving Corporation, to:</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Smithfield Foods, Inc.</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200 Commerce Street</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Smithfield, VA 23430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Tennille Checkovich</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Hunton Andrews Kurth LLP</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951 E. Byrd Street</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Richmond, VA 23219</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Richard Warren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Charles Brewer</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rwarren@hunton.com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cbrewer@hunton.com</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to the Company (prior to the Merger) to:</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Nathan’s Famous, Inc.</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One Jericho Plaza</w:t>
            </w: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Jericho, NY 11753</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Eric Gatoff</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Akerman LLP</w:t>
            </w:r>
          </w:p>
        </w:tc>
        <w:tc>
          <w:tcPr>
            <w:tcW w:w="2980" w:type="dxa"/>
            <w:vAlign w:val="bottom"/>
          </w:tcPr>
          <w:p>
            <w:pPr>
              <w:spacing w:after="0"/>
              <w:rPr>
                <w:sz w:val="18"/>
                <w:szCs w:val="18"/>
                <w:color w:val="auto"/>
              </w:rPr>
            </w:pPr>
          </w:p>
        </w:tc>
      </w:tr>
      <w:tr>
        <w:trPr>
          <w:trHeight w:val="220"/>
        </w:trPr>
        <w:tc>
          <w:tcPr>
            <w:tcW w:w="360" w:type="dxa"/>
            <w:vAlign w:val="bottom"/>
          </w:tcPr>
          <w:p>
            <w:pPr>
              <w:spacing w:after="0"/>
              <w:rPr>
                <w:sz w:val="19"/>
                <w:szCs w:val="19"/>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1251 Avenue of the Americas</w:t>
            </w:r>
          </w:p>
        </w:tc>
      </w:tr>
      <w:tr>
        <w:trPr>
          <w:trHeight w:val="253"/>
        </w:trPr>
        <w:tc>
          <w:tcPr>
            <w:tcW w:w="360" w:type="dxa"/>
            <w:vAlign w:val="bottom"/>
          </w:tcPr>
          <w:p>
            <w:pPr>
              <w:spacing w:after="0"/>
              <w:rPr>
                <w:sz w:val="21"/>
                <w:szCs w:val="21"/>
                <w:color w:val="auto"/>
              </w:rPr>
            </w:pPr>
          </w:p>
        </w:tc>
        <w:tc>
          <w:tcPr>
            <w:tcW w:w="1460" w:type="dxa"/>
            <w:vAlign w:val="bottom"/>
          </w:tcPr>
          <w:p>
            <w:pPr>
              <w:ind w:left="300"/>
              <w:spacing w:after="0" w:line="252" w:lineRule="exact"/>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2980" w:type="dxa"/>
            <w:vAlign w:val="bottom"/>
          </w:tcPr>
          <w:p>
            <w:pPr>
              <w:spacing w:after="0"/>
              <w:rPr>
                <w:sz w:val="21"/>
                <w:szCs w:val="21"/>
                <w:color w:val="auto"/>
              </w:rPr>
            </w:pPr>
          </w:p>
        </w:tc>
      </w:tr>
      <w:tr>
        <w:trPr>
          <w:trHeight w:val="216"/>
        </w:trPr>
        <w:tc>
          <w:tcPr>
            <w:tcW w:w="360" w:type="dxa"/>
            <w:vAlign w:val="bottom"/>
          </w:tcPr>
          <w:p>
            <w:pPr>
              <w:spacing w:after="0"/>
              <w:rPr>
                <w:sz w:val="18"/>
                <w:szCs w:val="18"/>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New York, NY 10020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Attention:</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Wayne Wald</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Palash Pandya</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James Macpherson</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Email:</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wayne.wald@akerman.com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palash.pandya@akerman.com</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james.macpherson@akerman.com</w:t>
            </w:r>
          </w:p>
        </w:tc>
      </w:tr>
      <w:tr>
        <w:trPr>
          <w:trHeight w:val="234"/>
        </w:trPr>
        <w:tc>
          <w:tcPr>
            <w:tcW w:w="360" w:type="dxa"/>
            <w:vAlign w:val="bottom"/>
          </w:tcPr>
          <w:p>
            <w:pPr>
              <w:spacing w:after="0"/>
              <w:rPr>
                <w:sz w:val="20"/>
                <w:szCs w:val="20"/>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298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No Survival</w:t>
      </w:r>
      <w:r>
        <w:rPr>
          <w:rFonts w:ascii="Times New Roman" w:cs="Times New Roman" w:eastAsia="Times New Roman" w:hAnsi="Times New Roman"/>
          <w:sz w:val="18"/>
          <w:szCs w:val="18"/>
          <w:color w:val="auto"/>
        </w:rPr>
        <w:t xml:space="preserve">. The covenants, agreements, representations and warranties contained herein or in any certificate or other writing delivered pursuant hereto shall not survive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limit any covenant or agreement of the parties which by its terms contemplates performance after the Effective Time.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(a)             Any provision of this Agreement may be amended or waived prior to the Effective Time if, but only if, such amendment or waiver is in writing and is signed, in the case of an amendment, by each party to this Agreement or, in the case of a waiver, by each party against whom the waiver is to be effective;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receipt of the Company Stockholder Approval, no amendment may be made that requires the further approval of the stockholders of the Company under the DGCL unless the required further approval is obtained.</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(b)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Except as otherwise provided in this Agreement, all costs and expenses incurred in connection with this Agreement shall be paid by the party incurring such cost or expense, whether or not the Merger is consummated. For the avoidance of doubt, Parent shall pay all filing fees payable pursuant any Antitrust Law, including the HSR Act, or in connection with seeking CFIUS Clearance.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Assignment; Benefit</w:t>
      </w:r>
      <w:r>
        <w:rPr>
          <w:rFonts w:ascii="Times New Roman" w:cs="Times New Roman" w:eastAsia="Times New Roman" w:hAnsi="Times New Roman"/>
          <w:sz w:val="18"/>
          <w:szCs w:val="18"/>
          <w:color w:val="auto"/>
        </w:rPr>
        <w:t xml:space="preserve">. This Agreement shall not be assigned by any of the parties hereto (whether by operation of law or otherwise)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or Merger Sub may transfer or assign its rights and obligations under this Agreement, in whole or from time to time in part, at or after the Effective Time, to any debt financing sources for purposes of creating a security interest herein or otherwise assigning this Agreement as collateral in respect of such secured debt financing, but no such assignment by Parent or Merger Sub shall relieve them of their obligations hereunder. Notwithstanding anything contained in this Agreement to the contrary, nothing in this Agreement, express or implied, is intended to confer on any Person other than the parties hereto or their respective successors and permitted assigns any rights, remedies, obligations or liabilities under or by reason of this Agreement, except for, from and after the Effective Time, (i) the rights of the Company’s stockholders to receive the Per Share Merger Consideration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(ii) the rights of the holders of Company Equity Awards to receive the payments in respect thereof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(iii) the rights of the Covered Persons pursuant to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The parties hereto further agree that the rights of third-party beneficiaries under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not arise unless and until the Merger is consummated.</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xml:space="preserve">.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in any other manner permitted by law.</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i w:val="1"/>
          <w:iCs w:val="1"/>
          <w:color w:val="auto"/>
        </w:rPr>
        <w:t>Specific Performance; Remedies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(a)            Except as otherwise expressly provided herein, any and all remedies herein expressly conferred upon a party hereto will be deemed cumulative with and not exclusive of any other remedy conferred hereby, or by Law or equity upon such party, and the exercise by a party of any one remedy will not preclude the exercise of any other remedy.</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(b)            The parties hereto agree that irreparable injury, for which monetary damages would not be an adequate remedy, will occur in the event that any of the provisions of this Agreement are not performed in accordance with their specific terms or are otherwise breached. It is agreed that, unless and until this Agreement has been validly terminated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any dispute over the right to termination has been finally resolved, each party shall be entitled to an injunction or injunctions to prevent or remedy any breaches or threatened breaches of this Agreement by any other party, to a decree or order of specific performance specifically enforcing the terms and provisions of this Agreement and to any further equitable relief in each case in accordance with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this being in addition to any other remedy to which such party entitled under the terms of this Agreement at law or in equity.</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The parties’ rights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are an integral part of the transactions contemplated by this Agreement and each party hereby waives any objections to any remedy referred to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(including any objection on the basis that there is an adequate remedy at Law). In the event any party hereto seeks any remedy referred to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such party shall not be required to obtain, furnish, post or provide any bond or other security in connection with or as a condition to obtaining any such remedy.</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Notwithstanding anything to the contrary in this Agreement, if prior to the End Date any party initiates a Proceeding to prevent breaches or threatened breaches of this Agreement and to enforce specifically the terms and provisions of this Agreement, then the End Date shall be automatically extended by (i) the amount of time during which such Proceeding is pending plus twenty (20) Business Days or (ii) such other time period established by the court presiding over such Proceeding.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by this Agreement is not affected in any manner materially adverse to any party. Upon such a determination, the parties hereto agree to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i w:val="1"/>
          <w:iCs w:val="1"/>
          <w:color w:val="auto"/>
        </w:rPr>
        <w:t>Parent Guarantee</w:t>
      </w:r>
      <w:r>
        <w:rPr>
          <w:rFonts w:ascii="Times New Roman" w:cs="Times New Roman" w:eastAsia="Times New Roman" w:hAnsi="Times New Roman"/>
          <w:sz w:val="18"/>
          <w:szCs w:val="18"/>
          <w:color w:val="auto"/>
        </w:rPr>
        <w:t>. Parent shall cause Merger Sub to comply in all respects with each of the covenants, obligations, agreements and undertakings made or required to be performed by Merger Sub in accordance with the terms of this Agreement, the Merger, and the other transactions contemplated by this Agreement. As a material inducement to the Company’s willingness to enter into this Agreement and perform its obligations hereunder, Parent hereby unconditionally guarantees full performance by Merger Sub of each of the covenants, obligations and undertakings required to be performed by Merger Sub under this Agreement and the transactions contemplated by this Agreement, subject to all terms, conditions and limitations contained in this Agreement, and hereby represents, acknowledges and agrees that any such breach of any such representation and warranty or default in the performance of any such covenant, obligation, agreement or undertaking of Merger Sub shall also be deemed to be a breach or default of Parent, and the Company shall have the right, exercisable in its sole discretion, to pursue any and all available remedies it may have arising out of any such breach or nonperformance directly against either or both of Parent and Merger Sub in the first instance.</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the Company Disclosure Letter, the exhibits and schedules to this Agreement and the Confidentiality Agreement constitute the entire agreement among the parties with respect to the subject matter hereof and supersede all prior agreements and understandings, both written and oral, among the parties with respect thereto.</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Section 9.14            Company Disclosure Letter</w:t>
      </w:r>
      <w:r>
        <w:rPr>
          <w:rFonts w:ascii="Times New Roman" w:cs="Times New Roman" w:eastAsia="Times New Roman" w:hAnsi="Times New Roman"/>
          <w:sz w:val="18"/>
          <w:szCs w:val="18"/>
          <w:color w:val="auto"/>
        </w:rPr>
        <w:t>. The parties hereto agree that the disclosure set forth in any particular section or subsection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Disclosure Letter shall be deemed to be an exception to (or, as applicable, a disclosure for purposes of) (a) the representations and warranties of the Company that are set forth in the corresponding Section or subsection of this Agreement and (b) any other representations and warranties of the Company that are set forth in this Agreement, but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only if the relevance of that disclosure as an exception to (or a disclosure for purposes of) such other representations and warranties is reasonably apparent on the face of such disclosure. The inclusion of an item in the Company Disclosure Letter as an exception to a representation or warranty of the Company set forth in this Agreement shall not be construed as an admission or indication by the Company of any non-compliance with, or breach or violation of, any third-party rights, Contract, Law or Order, such disclosures having been made solely for the purposes of creating exceptions to the representations and warranties of the Company set forth in this Agreement or of disclosing any information required to be disclosed under this 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facsimile transmission, by electronic mail in PDF form, or by any other electronic means will be deemed to have the same effect as physical delivery of the paper document bearing the original signatures.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SMITHFIELD FOODS,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Shane Smith</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6"/>
                <w:szCs w:val="16"/>
                <w:color w:val="auto"/>
              </w:rPr>
            </w:pP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 Shane Smith</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BOARDWALK MERGER SUB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L. Hall</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Mark L. Hall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tcPr>
          <w:p>
            <w:pPr>
              <w:ind w:left="3480"/>
              <w:spacing w:after="0"/>
              <w:rPr>
                <w:sz w:val="20"/>
                <w:szCs w:val="20"/>
                <w:color w:val="auto"/>
              </w:rPr>
            </w:pPr>
            <w:r>
              <w:rPr>
                <w:rFonts w:ascii="Times New Roman" w:cs="Times New Roman" w:eastAsia="Times New Roman" w:hAnsi="Times New Roman"/>
                <w:sz w:val="18"/>
                <w:szCs w:val="18"/>
                <w:color w:val="auto"/>
              </w:rPr>
              <w:t>NATHAN’S FAMOUS, INC.</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Gatoff</w:t>
            </w:r>
          </w:p>
        </w:tc>
        <w:tc>
          <w:tcPr>
            <w:tcW w:w="0" w:type="dxa"/>
            <w:vAlign w:val="bottom"/>
          </w:tcPr>
          <w:p>
            <w:pPr>
              <w:spacing w:after="0"/>
              <w:rPr>
                <w:sz w:val="1"/>
                <w:szCs w:val="1"/>
                <w:color w:val="auto"/>
              </w:rPr>
            </w:pPr>
          </w:p>
        </w:tc>
      </w:tr>
      <w:tr>
        <w:trPr>
          <w:trHeight w:val="191"/>
        </w:trPr>
        <w:tc>
          <w:tcPr>
            <w:tcW w:w="2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4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Eric Gatoff</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vMerge w:val="restart"/>
          </w:tcPr>
          <w:p>
            <w:pPr>
              <w:ind w:left="2120"/>
              <w:spacing w:after="0"/>
              <w:rPr>
                <w:sz w:val="20"/>
                <w:szCs w:val="20"/>
                <w:color w:val="auto"/>
              </w:rPr>
            </w:pPr>
            <w:r>
              <w:rPr>
                <w:rFonts w:ascii="Times New Roman" w:cs="Times New Roman" w:eastAsia="Times New Roman" w:hAnsi="Times New Roman"/>
                <w:sz w:val="18"/>
                <w:szCs w:val="18"/>
                <w:color w:val="auto"/>
              </w:rPr>
              <w:t>Signature Page to Merger Agreement</w:t>
            </w: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9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Amended and Restated Certificate of Incorporation of the Surviving Corporation</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[Omitted]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of License Extension</w:t>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[Omitted]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ectPr>
          <w:pgSz w:w="11900" w:h="16838" w:orient="portrait"/>
          <w:cols w:equalWidth="0" w:num="1">
            <w:col w:w="10139"/>
          </w:cols>
          <w:pgMar w:left="320" w:top="22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January 20, 2026, is entered into by and among Smithfield Foods, Inc., a Virginia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Boardwalk Merger Sub Inc., a Delaware corporation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Nathan’s Famous,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certain stockholders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Capitalized terms used but not defined herein shall have the meanings given to them in the Merger Agreement (as defined below).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of this Agreement, Parent, Merger Sub and the Company have entered into an Agreement and Plan of Merger (as the same may be amended, modified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(and subject to the terms and conditions set forth therein), among other things,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and as a wholly-owned subsidiary of Parent;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as of the date hereof, each Stockholder is the beneficial owner (within the meaning of Rule 13d-3 under the Exchange Act, which meaning will apply for all purposes of this Agreement whenever the terms “beneficial owner,” “beneficial ownership” or “own beneficially” are used) of and is entitled to dispose and vote the number of shares of Company Common Stock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(with respect to each Stockholder, the “</w:t>
      </w:r>
      <w:r>
        <w:rPr>
          <w:rFonts w:ascii="Times New Roman" w:cs="Times New Roman" w:eastAsia="Times New Roman" w:hAnsi="Times New Roman"/>
          <w:sz w:val="18"/>
          <w:szCs w:val="18"/>
          <w:u w:val="single" w:color="auto"/>
          <w:color w:val="auto"/>
        </w:rPr>
        <w:t>Owned Shares</w:t>
      </w:r>
      <w:r>
        <w:rPr>
          <w:rFonts w:ascii="Times New Roman" w:cs="Times New Roman" w:eastAsia="Times New Roman" w:hAnsi="Times New Roman"/>
          <w:sz w:val="18"/>
          <w:szCs w:val="18"/>
          <w:color w:val="auto"/>
        </w:rPr>
        <w:t>” and, together with any additional shares of Company Common Stock or other voting securities of the Company of which such Stockholder acquires record or beneficial ownership and has an entitlement to dispose of and vote after the date hereof, including, without limitation, by purchase, by grant, as a result of a stock dividend, stock split, recapitalization, combination, reclassification, exchange or change of such shares, or upon exercise or conversion of any securities or any Company RSUs or Company Stock Options, such Stockholder’s “</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and Merger Sub’s willingness to enter into the Merger Agreement and to proceed with the transactions contemplated thereby, including the Merger, Parent, Merger Sub, the Company and the Stockholders are entering into this Agreement; and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Stockholders acknowledge that Parent and Merger Sub are entering into the Merger Agreement in reliance on the representations, warranties, covenants and other agreements of the Stockholders set forth in this Agreement and would not enter into the Merger Agreement if any Stockholder did not enter into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and agreements herein contained, and intending to be legally bound hereby, Parent, Merger Sub, the Company and the Stockholders hereby agree as follows: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Section 1.             </w:t>
      </w:r>
      <w:r>
        <w:rPr>
          <w:rFonts w:ascii="Times New Roman" w:cs="Times New Roman" w:eastAsia="Times New Roman" w:hAnsi="Times New Roman"/>
          <w:sz w:val="18"/>
          <w:szCs w:val="18"/>
          <w:b w:val="1"/>
          <w:bCs w:val="1"/>
          <w:u w:val="single" w:color="auto"/>
          <w:color w:val="auto"/>
        </w:rPr>
        <w:t>  Agreement to Vote</w:t>
      </w:r>
      <w:r>
        <w:rPr>
          <w:rFonts w:ascii="Times New Roman" w:cs="Times New Roman" w:eastAsia="Times New Roman" w:hAnsi="Times New Roman"/>
          <w:sz w:val="18"/>
          <w:szCs w:val="18"/>
          <w:color w:val="auto"/>
        </w:rPr>
        <w:t>. Prior to the Termination Date, each Stockholder who owns Covered Shares as of the applicable record date,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capacity as a stockholder of the Company, hereby irrevocably and unconditionally agrees that at any meeting of the stockholders of the Company (whether annual or special and whether or not an adjourned or postponed meeting), however called, or in connection with any written consent of stockholders of the Company, such Stockholder shall (a) when a meeting is held, appear at such meeting or otherwise cause the Covered Shares owned by such Stockholder to be counted as present thereat for the purpose of establishing a quorum, and respond to each request by the Company for written consent, if any, and (b) vote (or consent), or cause to be voted at such meeting (or validly execute and return and cause such consent to be granted with respect to), all Covered Shares owned as of the record date for such meeting or consent of the stockholders (i) in favor of the Merger, the adoption of the Merger Agreement and any other matters necessary for consummation of the Merger and the other transactions contemplated in the Merger Agreement, including any proposal to adjourn or postpone the Stockholders’ Meeting to a later date if there are not sufficient votes for adoption of the Merger Agreement on the date on which the Stockholders’ Meeting is held, and (ii) against the following actions (other than the Merger and the transactions contemplated thereby): (A) any Acquisition Proposal, (B) any proposal for any recapitalization, reorganization, liquidation, dissolution, merger, sale of assets or other business combination between the Company and any other Person, and (C) any other action that would reasonably be expected to impede, interfere with, delay, postpone or adversely affect the Merger or any of the transactions contemplated by the Merger Agreement or this Agreement (collectively, the “</w:t>
      </w:r>
      <w:r>
        <w:rPr>
          <w:rFonts w:ascii="Times New Roman" w:cs="Times New Roman" w:eastAsia="Times New Roman" w:hAnsi="Times New Roman"/>
          <w:sz w:val="18"/>
          <w:szCs w:val="18"/>
          <w:u w:val="single" w:color="auto"/>
          <w:color w:val="auto"/>
        </w:rPr>
        <w:t>Covered Proposals</w:t>
      </w:r>
      <w:r>
        <w:rPr>
          <w:rFonts w:ascii="Times New Roman" w:cs="Times New Roman" w:eastAsia="Times New Roman" w:hAnsi="Times New Roman"/>
          <w:sz w:val="18"/>
          <w:szCs w:val="18"/>
          <w:color w:val="auto"/>
        </w:rPr>
        <w:t xml:space="preserve">”). Except as expressly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with respect to Covered Proposals, the Stockholders shall not be restricted from voting in favor of, against or abstaining with respect to any other matter presented to the stockholders of the Company.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2.             </w:t>
      </w:r>
      <w:r>
        <w:rPr>
          <w:rFonts w:ascii="Times New Roman" w:cs="Times New Roman" w:eastAsia="Times New Roman" w:hAnsi="Times New Roman"/>
          <w:sz w:val="18"/>
          <w:szCs w:val="18"/>
          <w:b w:val="1"/>
          <w:bCs w:val="1"/>
          <w:u w:val="single" w:color="auto"/>
          <w:color w:val="auto"/>
        </w:rPr>
        <w:t>  No Inconsistent Agreements</w:t>
      </w:r>
      <w:r>
        <w:rPr>
          <w:rFonts w:ascii="Times New Roman" w:cs="Times New Roman" w:eastAsia="Times New Roman" w:hAnsi="Times New Roman"/>
          <w:sz w:val="18"/>
          <w:szCs w:val="18"/>
          <w:color w:val="auto"/>
        </w:rPr>
        <w:t>. Each Stockholder hereby represents, covenants and agrees that, except as contemplated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Stockholder (a) has not entered into, and shall not enter into at any time prior to the Termination Date, any voting agreement or voting trust with respect to any Covered Shares and (b) has not granted any currently effective proxy or power of attorney with respect to any Covered Shares, and shall not grant at any time prior to the Termination Date any proxy or power of attorney with respect to any Covered Shares, in either case, which is inconsistent with such Stockholder’s obligations under this Agreement.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3.             </w:t>
      </w:r>
      <w:r>
        <w:rPr>
          <w:rFonts w:ascii="Times New Roman" w:cs="Times New Roman" w:eastAsia="Times New Roman" w:hAnsi="Times New Roman"/>
          <w:sz w:val="18"/>
          <w:szCs w:val="18"/>
          <w:b w:val="1"/>
          <w:bCs w:val="1"/>
          <w:u w:val="single" w:color="auto"/>
          <w:color w:val="auto"/>
        </w:rPr>
        <w:t>  Termination</w:t>
      </w:r>
      <w:r>
        <w:rPr>
          <w:rFonts w:ascii="Times New Roman" w:cs="Times New Roman" w:eastAsia="Times New Roman" w:hAnsi="Times New Roman"/>
          <w:sz w:val="18"/>
          <w:szCs w:val="18"/>
          <w:color w:val="auto"/>
        </w:rPr>
        <w:t>. This Agreement and all obligations of the parties hereto hereunder shall automatically terminate without any 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any party hereto and shall be of no further force and effect upon the earliest to occur of (a) the Closing, (b) the termination of the Merger Agreement in accordance with its terms, (c) the completion of the Stockholders’ Meeting and the inspectors’ certification of the voting results thereat, (d) written notice of termination of this Agreement by Parent to the Stockholders, (e) the Company Board or a committee thereof having effected an Adverse Recommendation Change (f) the entry into or effectiveness of amendment, modification or waiver of the Merger Agreement that (i) reduces the amount or changes the form of the Per Share Merger Consideration or (ii) extends the End Date beyond October 20, 2026, or (g) with respect to any Stockholder, the mutual written agreement of such Stockholder and Parent (such earliest date being referred to herein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survive the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liability incurred by any party hereto as a result of a breach of a term or condition of this Agreement prior to such termination shall survive the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4.             </w:t>
      </w:r>
      <w:r>
        <w:rPr>
          <w:rFonts w:ascii="Times New Roman" w:cs="Times New Roman" w:eastAsia="Times New Roman" w:hAnsi="Times New Roman"/>
          <w:sz w:val="18"/>
          <w:szCs w:val="18"/>
          <w:b w:val="1"/>
          <w:bCs w:val="1"/>
          <w:u w:val="single" w:color="auto"/>
          <w:color w:val="auto"/>
        </w:rPr>
        <w:t>  Representations and Warranties of the Stockholders</w:t>
      </w:r>
      <w:r>
        <w:rPr>
          <w:rFonts w:ascii="Times New Roman" w:cs="Times New Roman" w:eastAsia="Times New Roman" w:hAnsi="Times New Roman"/>
          <w:sz w:val="18"/>
          <w:szCs w:val="18"/>
          <w:color w:val="auto"/>
        </w:rPr>
        <w:t>. Each Stockholder, as to such Stockholder (severally and not jointly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severally), hereby represents and warrants to Parent and Merger Sub as of the date hereof as follows:</w:t>
      </w:r>
    </w:p>
    <w:p>
      <w:pPr>
        <w:spacing w:after="0" w:line="15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Such Stockholder is the beneficial owner of, and has good and valid title to, the Covered Shares, free and clear of all Liens other than as created by this Agreement, pursuant to applicable securities Laws or as would not restrict, prohibit or impair the exercise by Parent or Merger Sub of its rights under this Agreement or have an adverse effect on such Stockholder’s ability to perform such Stockholder’s obligations hereunder. As of the date hereof, other than the Owned Shares and any Company RSUs or Company Stock Options, such Stockholder does not own beneficially or of record any shares of capital stock or voting securities of the Company. Such Stockholder (i) has the sole voting and sole disposition power over all of the Covered Shares, and (ii) is not subject to any voting trusts or voting agreements with respect to the Covered Shares.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Each Stockholder has all requisite power and authority to execute and deliver this Agreement and to perform such Stockholder’s obligations hereunder. This Agreement has been duly and validly executed and delivered by such Stockholder and, assuming due authorization, execution and delivery by Parent and Merger Sub, constitutes a legal, valid and binding obligation of such Stockholder, enforceable against such Stockholder in accordance with its terms, except as enforcement may be limited by the Enforceability Exceptions.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Except for the applicable requirements of the Exchange Act, (i) no filing with, and no permit, authorization, consent or approval of, any Governmental Authority is necessary on the part of such Stockholder for the execution, delivery and performance of this Agreement by such Stockholder or the consummation by such Stockholder of the transactions contemplated hereby and (ii) neither the execution, delivery or performance of this Agreement by such Stockholder nor the consummation by such Stockholder of the transactions contemplated hereby nor compliance by such Stockholder with any of the provisions hereof shall (A) result in any breach or violation of, or constitute a default (or an event which, with notice or lapse of time or both, would become a default) under, or give to others any rights of termination, amendment, acceleration or cancellation of, or result in the creation of a Lien on such property or asset of such Stockholder pursuant to, any Contract to which such Stockholder is a party or by which such Stockholder or any property or asset of such Stockholder is bound or affected or (B) violate any order, writ, injunction, decree, statute, rule or regulation applicable to such Stockholder or any of such Stockholder’s properties or assets, in each case, other than as would not restrict, prohibit or impair the exercise by Parent or Merger Sub of its rights under this Agreement or have an adverse effect on such Stockholder’s ability to perform such Stockholder’s obligations hereunder.</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As of the date of this Agreement, there is no litigation pending against any such Stockholder, or, to the knowledge of such Stockholder, threatened against such Stockholder that restricts or prohibits (or, if successful, would restrict or prohibit) the exercise by Parent or Merger Sub of its rights under this Agreement or the performance by any such Stockholder of such Stockholder’s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Such Stockholder understands and acknowledges that Parent and Merger Sub are entering into the Merger Agreement in reliance upon such Stockholder’s execution and delivery of this Agreement and the representations and warranties of such Stockholder contained herein.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No agent, broker, investment banker, finder or other intermediary is or will be entitled to any fee or commission or reimbursement of expenses from Parent, Merger Sub or the Company or any of their respective Affiliates in respect of this Agreement based upon any arrangement or agreement made by or on behalf of such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representations and warranties of the Stockholders contained herein shall not survive the Termination Date.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             </w:t>
      </w:r>
      <w:r>
        <w:rPr>
          <w:rFonts w:ascii="Times New Roman" w:cs="Times New Roman" w:eastAsia="Times New Roman" w:hAnsi="Times New Roman"/>
          <w:sz w:val="18"/>
          <w:szCs w:val="18"/>
          <w:b w:val="1"/>
          <w:bCs w:val="1"/>
          <w:u w:val="single" w:color="auto"/>
          <w:color w:val="auto"/>
        </w:rPr>
        <w:t>  Restrictions on Transfer</w:t>
      </w:r>
      <w:r>
        <w:rPr>
          <w:rFonts w:ascii="Times New Roman" w:cs="Times New Roman" w:eastAsia="Times New Roman" w:hAnsi="Times New Roman"/>
          <w:sz w:val="18"/>
          <w:szCs w:val="18"/>
          <w:color w:val="auto"/>
        </w:rPr>
        <w:t>. Each Stockholder, as to such Stockholder (severally and not jointly), hereby covenants and agrees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Prior to the Termination Date, and except as contemplated hereby, such Stockholder shall not (i) (x) tender into any tender or exchange offer, (y) sell, transfer, pledge, hypothecate, grant, encumber, assign or otherwise dispose of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or enter into any Contract, option, agreement or other arrangement or understanding with respect to the Transfer of any of the Covered Shares or beneficial ownership or voting power thereof or therein (including by operation of law), or (z) grant any proxies or powers of attorney, deposit any Covered Shares into a voting trust or enter into a voting agreement with respect to any Covered Shares or (ii) knowingly take any action that would make any representation or warranty of such Stockholder contained herein untrue or incorrect in any material respect or have the effect of preventing or disabling such Stockholder from performing such Stockholder’s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contained herein shall prohibit (A) any Transfer to (1) any member of such Stockholder’s immediate family, or to a trust for the benefit of such Stockholder or any member of such Stockholder’s immediate family or (2) any person or entity if and solely to the extent required by any non-consensual, final and non-appealable injunction, order, judgment or decree of any Governmental Authority, by divorce decree or by will, intestacy or other similar law, so long as the permitted transferee executes a joinder to this Agreement pursuant to which such transferee agrees to become a party hereto and be subject to the restrictions applicable to such Stockholder hereunder or</w:t>
      </w:r>
    </w:p>
    <w:p>
      <w:pPr>
        <w:spacing w:after="0" w:line="4" w:lineRule="exact"/>
        <w:rPr>
          <w:sz w:val="20"/>
          <w:szCs w:val="20"/>
          <w:color w:val="auto"/>
        </w:rPr>
      </w:pPr>
    </w:p>
    <w:p>
      <w:pPr>
        <w:jc w:val="both"/>
        <w:ind w:firstLine="8"/>
        <w:spacing w:after="0" w:line="252" w:lineRule="auto"/>
        <w:tabs>
          <w:tab w:leader="none" w:pos="3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net settlement of Company Stock Options (to pay the exercise price thereof and any tax withholding obligations), (2) the net settlement of Company RSUs (to pay any tax withholding obligations), (3) the exercise of Company Stock Options, to the extent such options would expire prior to the Effective Time, (4) the sale of a sufficient number of shares of Company Common Stock acquired upon exercise of Company Stock Options pursuant to the foregoing clause (3) as would generate sales proceeds sufficient to pay the aggregate applicable exercise price of the shares then exercised under such Company Stock Options and the taxes payable by such Holder as a result of such exercise or settlement. Any Transfer in violation of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To the extent a Transfer is permitted under this Agreement, such Transfer must also comply with all applicable Laws.</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Prior to the Termination Date, in the event that such Stockholder acquires record or beneficial ownership of, or the power to vote or direct the voting of, any additional shares of Company Common Stock or other voting interests with respect to the Company, such shares of Company Common Stock or other voting interests shall, without further action of the parties, be deemed Covered Shares and subject to the provisions of this Agreement, and the number of shares of Company Common Stock held by such Stockholder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will be deemed amended accordingly. Each Stockholder shall promptly notify Parent in writing of any such event.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Stockholder hereby waives all right to dissent or seek appraisal under the Delaware General Corporation Law, including Section 262 thereof, or otherwise exercise any appraisal rights with respect to all of such Stockholder’s Covered Shares owned (beneficially or of record) by such Stockholder in connection with the Merger, the Merger Agreement and the other transactions contemplated therein.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Notwithstanding any provision of this Agreement to the contrary, nothing herein shall prevent a Stockholder from complying with his or her disclosure obligations under applicable Laws.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6.             </w:t>
      </w:r>
      <w:r>
        <w:rPr>
          <w:rFonts w:ascii="Times New Roman" w:cs="Times New Roman" w:eastAsia="Times New Roman" w:hAnsi="Times New Roman"/>
          <w:sz w:val="18"/>
          <w:szCs w:val="18"/>
          <w:b w:val="1"/>
          <w:bCs w:val="1"/>
          <w:u w:val="single" w:color="auto"/>
          <w:color w:val="auto"/>
        </w:rPr>
        <w:t>  No Solicitation</w:t>
      </w:r>
      <w:r>
        <w:rPr>
          <w:rFonts w:ascii="Times New Roman" w:cs="Times New Roman" w:eastAsia="Times New Roman" w:hAnsi="Times New Roman"/>
          <w:sz w:val="18"/>
          <w:szCs w:val="18"/>
          <w:color w:val="auto"/>
        </w:rPr>
        <w:t>. Until the Termination Date, each Stockholder hereby agrees that he or she will not, directly or indirectly,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or omit to take any action that the Company is not permitted to take or omit to take pursuant to Section 6.02 of the Merger Agreement. Notwithstanding anything to the contrary in this Agreement, solely to the extent the Company is permitted to take certain actions set forth in Section 6.02 of the Merger Agreement, each Stockholder will be free to participate in any such actions in accordance with and subject to the provisions of the Merger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7.             </w:t>
      </w:r>
      <w:r>
        <w:rPr>
          <w:rFonts w:ascii="Times New Roman" w:cs="Times New Roman" w:eastAsia="Times New Roman" w:hAnsi="Times New Roman"/>
          <w:sz w:val="18"/>
          <w:szCs w:val="18"/>
          <w:b w:val="1"/>
          <w:bCs w:val="1"/>
          <w:u w:val="single" w:color="auto"/>
          <w:color w:val="auto"/>
        </w:rPr>
        <w:t>  Stockholder Capacity</w:t>
      </w:r>
      <w:r>
        <w:rPr>
          <w:rFonts w:ascii="Times New Roman" w:cs="Times New Roman" w:eastAsia="Times New Roman" w:hAnsi="Times New Roman"/>
          <w:sz w:val="18"/>
          <w:szCs w:val="18"/>
          <w:color w:val="auto"/>
        </w:rPr>
        <w:t>. This Agreement is being entered into by each Stockholder solely in such Stockholder’s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of the Company and not in any other capacity, and, without limiting Parent’s and Merger Sub’s rights under the Merger Agreement, nothing in this Agreement shall restrict or limit (a) the ability of any Stockholder to take any action in such Stockholder’s capacity as a director, officer or employee of the Company or its Subsidiaries, and exercising such Stockholder’s fiduciary duties and responsibilities in such capacity, or the ability of the Stockholder to vote or provide written consent as a director of the Company in his or her sole discretion on any matter, whether in connection with the Merger Agreement or otherwise, and no action or omissions by any such Stockholder in his or her capacity as a director of the Company shall be deemed to constitute a breach of any provision of this Agreement, or (b) the Company from taking any actions that are otherwise permitted by the Merger Agreement, including with respect to a Superior Proposal.</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8.             </w:t>
      </w:r>
      <w:r>
        <w:rPr>
          <w:rFonts w:ascii="Times New Roman" w:cs="Times New Roman" w:eastAsia="Times New Roman" w:hAnsi="Times New Roman"/>
          <w:sz w:val="18"/>
          <w:szCs w:val="18"/>
          <w:b w:val="1"/>
          <w:bCs w:val="1"/>
          <w:u w:val="single" w:color="auto"/>
          <w:color w:val="auto"/>
        </w:rPr>
        <w:t>  Disclosure</w:t>
      </w:r>
      <w:r>
        <w:rPr>
          <w:rFonts w:ascii="Times New Roman" w:cs="Times New Roman" w:eastAsia="Times New Roman" w:hAnsi="Times New Roman"/>
          <w:sz w:val="18"/>
          <w:szCs w:val="18"/>
          <w:color w:val="auto"/>
        </w:rPr>
        <w:t>. Each Stockholder hereby authorizes Parent, Merger Sub and the Company to publish and disclose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announcement or disclosure required by the SEC and in the Proxy Statement such Stockholder’s identity and ownership of the Covered Shares, this Agreement and the nature of such Stockholder’s obligations under this Agreement. Parent will not make any other disclosures regarding any Stockholder in any press release or otherwise without the prior written consent of such Stockholder (such approval not to be unreasonably withheld, conditioned or delayed). Parent hereby authorizes each Stockholder to disclose in any disclosure required by any Governmental Authority Parent’s identity and the nature of Parent’s obligations under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9.             </w:t>
      </w:r>
      <w:r>
        <w:rPr>
          <w:rFonts w:ascii="Times New Roman" w:cs="Times New Roman" w:eastAsia="Times New Roman" w:hAnsi="Times New Roman"/>
          <w:sz w:val="18"/>
          <w:szCs w:val="18"/>
          <w:b w:val="1"/>
          <w:bCs w:val="1"/>
          <w:u w:val="single" w:color="auto"/>
          <w:color w:val="auto"/>
        </w:rPr>
        <w:t>  Further Assurances</w:t>
      </w:r>
      <w:r>
        <w:rPr>
          <w:rFonts w:ascii="Times New Roman" w:cs="Times New Roman" w:eastAsia="Times New Roman" w:hAnsi="Times New Roman"/>
          <w:sz w:val="18"/>
          <w:szCs w:val="18"/>
          <w:color w:val="auto"/>
        </w:rPr>
        <w:t>. From time to time, at the request of Parent and without further consideration, each Stockholder shall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further action as may reasonably be deemed by Parent to be necessary to consummate and make effective the transactions contemplated by this Agreement.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10.             </w:t>
      </w:r>
      <w:r>
        <w:rPr>
          <w:rFonts w:ascii="Times New Roman" w:cs="Times New Roman" w:eastAsia="Times New Roman" w:hAnsi="Times New Roman"/>
          <w:sz w:val="18"/>
          <w:szCs w:val="18"/>
          <w:b w:val="1"/>
          <w:bCs w:val="1"/>
          <w:u w:val="single" w:color="auto"/>
          <w:color w:val="auto"/>
        </w:rPr>
        <w:t>  Amendment and Modification</w:t>
      </w:r>
      <w:r>
        <w:rPr>
          <w:rFonts w:ascii="Times New Roman" w:cs="Times New Roman" w:eastAsia="Times New Roman" w:hAnsi="Times New Roman"/>
          <w:sz w:val="18"/>
          <w:szCs w:val="18"/>
          <w:color w:val="auto"/>
        </w:rPr>
        <w:t>. This Agreement may not be amended, modified or supplemented in any manner,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course of conduct or otherwise, except by an instrument in writing specifically designated as an amendment hereto, signed on behalf of each party and otherwise as expressly set forth herein.</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             </w:t>
      </w:r>
      <w:r>
        <w:rPr>
          <w:rFonts w:ascii="Times New Roman" w:cs="Times New Roman" w:eastAsia="Times New Roman" w:hAnsi="Times New Roman"/>
          <w:sz w:val="18"/>
          <w:szCs w:val="18"/>
          <w:b w:val="1"/>
          <w:bCs w:val="1"/>
          <w:u w:val="single" w:color="auto"/>
          <w:color w:val="auto"/>
        </w:rPr>
        <w:t>  Waiver</w:t>
      </w:r>
      <w:r>
        <w:rPr>
          <w:rFonts w:ascii="Times New Roman" w:cs="Times New Roman" w:eastAsia="Times New Roman" w:hAnsi="Times New Roman"/>
          <w:sz w:val="18"/>
          <w:szCs w:val="18"/>
          <w:color w:val="auto"/>
        </w:rPr>
        <w:t>. At any time prior to the Termination Date, the parties may (a) extend the time for the performance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or other acts of the other parties, (b) waive any inaccuracies in the representations and warranties contained herein or in any document delivered pursuant hereto and (c) waive compliance with any of the agreements or conditions contained herein. Any agreement on the part of a party to any such extension or waiver shall be valid only if set forth in a written instrument signed on behalf of such party.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  Notices</w:t>
      </w:r>
      <w:r>
        <w:rPr>
          <w:rFonts w:ascii="Times New Roman" w:cs="Times New Roman" w:eastAsia="Times New Roman" w:hAnsi="Times New Roman"/>
          <w:sz w:val="18"/>
          <w:szCs w:val="18"/>
          <w:color w:val="auto"/>
        </w:rPr>
        <w:t>. Any notices or other communications required or permitted under, or otherwise given in connection with,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writing and shall be deemed to have been duly given (a) when delivered if delivered in person, (b) on the fifth (5th) Business Day after dispatch by registered or certified mail, (c) on the next Business Day if transmitted by national overnight courier or (d) on the date delivered if sent by e-mail, provided that the e-mail transmission (i) is promptly confirmed by telephone, a responsive e-mail by the recipient thereof or otherwise clearly evidenced (excluding “bounce-backs,” out-of-office replies or other notice of non-delivery) or (ii) is followed up within one (1) Business Day after e-mail by one of the methods described in the foregoing clauses (a), (b) or (c), in each case as follows:</w:t>
      </w:r>
    </w:p>
    <w:p>
      <w:pPr>
        <w:spacing w:after="0" w:line="186" w:lineRule="exact"/>
        <w:rPr>
          <w:sz w:val="20"/>
          <w:szCs w:val="20"/>
          <w:color w:val="auto"/>
        </w:rPr>
      </w:pPr>
    </w:p>
    <w:p>
      <w:pPr>
        <w:ind w:left="2040" w:right="7260" w:hanging="561"/>
        <w:spacing w:after="0" w:line="409" w:lineRule="auto"/>
        <w:tabs>
          <w:tab w:leader="none" w:pos="20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Parent or Merger Sub: Smithfield Foods, Inc.</w:t>
      </w:r>
    </w:p>
    <w:p>
      <w:pPr>
        <w:ind w:left="2040"/>
        <w:spacing w:after="0"/>
        <w:rPr>
          <w:sz w:val="20"/>
          <w:szCs w:val="20"/>
          <w:color w:val="auto"/>
        </w:rPr>
      </w:pPr>
      <w:r>
        <w:rPr>
          <w:rFonts w:ascii="Times New Roman" w:cs="Times New Roman" w:eastAsia="Times New Roman" w:hAnsi="Times New Roman"/>
          <w:sz w:val="18"/>
          <w:szCs w:val="18"/>
          <w:color w:val="auto"/>
        </w:rPr>
        <w:t>200 Commerce Street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Smithfield, VA 23430</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Tennille Checkovich</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951 E. Byrd Street</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Richmond, VA 23219</w:t>
      </w:r>
    </w:p>
    <w:p>
      <w:pPr>
        <w:spacing w:after="0" w:line="9" w:lineRule="exact"/>
        <w:rPr>
          <w:sz w:val="20"/>
          <w:szCs w:val="20"/>
          <w:color w:val="auto"/>
        </w:rPr>
      </w:pPr>
    </w:p>
    <w:p>
      <w:pPr>
        <w:jc w:val="both"/>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Richard Warren</w:t>
      </w:r>
    </w:p>
    <w:p>
      <w:pPr>
        <w:spacing w:after="0" w:line="9" w:lineRule="exact"/>
        <w:rPr>
          <w:sz w:val="20"/>
          <w:szCs w:val="20"/>
          <w:color w:val="auto"/>
        </w:rPr>
      </w:pPr>
    </w:p>
    <w:p>
      <w:pPr>
        <w:jc w:val="right"/>
        <w:ind w:right="6740"/>
        <w:spacing w:after="0"/>
        <w:rPr>
          <w:sz w:val="20"/>
          <w:szCs w:val="20"/>
          <w:color w:val="auto"/>
        </w:rPr>
      </w:pPr>
      <w:r>
        <w:rPr>
          <w:rFonts w:ascii="Times New Roman" w:cs="Times New Roman" w:eastAsia="Times New Roman" w:hAnsi="Times New Roman"/>
          <w:sz w:val="18"/>
          <w:szCs w:val="18"/>
          <w:color w:val="auto"/>
        </w:rPr>
        <w:t>Charles Brewer</w:t>
      </w:r>
    </w:p>
    <w:p>
      <w:pPr>
        <w:spacing w:after="0" w:line="9" w:lineRule="exact"/>
        <w:rPr>
          <w:sz w:val="20"/>
          <w:szCs w:val="20"/>
          <w:color w:val="auto"/>
        </w:rPr>
      </w:pPr>
    </w:p>
    <w:p>
      <w:pPr>
        <w:jc w:val="both"/>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rwarren@hunton.com</w:t>
      </w:r>
    </w:p>
    <w:p>
      <w:pPr>
        <w:spacing w:after="0" w:line="9" w:lineRule="exact"/>
        <w:rPr>
          <w:sz w:val="20"/>
          <w:szCs w:val="20"/>
          <w:color w:val="auto"/>
        </w:rPr>
      </w:pPr>
    </w:p>
    <w:p>
      <w:pPr>
        <w:jc w:val="right"/>
        <w:ind w:right="6260"/>
        <w:spacing w:after="0"/>
        <w:rPr>
          <w:sz w:val="20"/>
          <w:szCs w:val="20"/>
          <w:color w:val="auto"/>
        </w:rPr>
      </w:pPr>
      <w:r>
        <w:rPr>
          <w:rFonts w:ascii="Times New Roman" w:cs="Times New Roman" w:eastAsia="Times New Roman" w:hAnsi="Times New Roman"/>
          <w:sz w:val="18"/>
          <w:szCs w:val="18"/>
          <w:color w:val="auto"/>
        </w:rPr>
        <w:t>cbrewer@hunton.com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left="2040" w:hanging="561"/>
        <w:spacing w:after="0"/>
        <w:tabs>
          <w:tab w:leader="none" w:pos="2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225" w:lineRule="exact"/>
        <w:rPr>
          <w:rFonts w:ascii="Times New Roman" w:cs="Times New Roman" w:eastAsia="Times New Roman" w:hAnsi="Times New Roman"/>
          <w:sz w:val="18"/>
          <w:szCs w:val="18"/>
          <w:color w:val="auto"/>
        </w:rPr>
      </w:pPr>
    </w:p>
    <w:p>
      <w:pPr>
        <w:ind w:left="2040" w:right="7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Nathan’s Famous, Inc. One Jericho Plaza</w:t>
      </w:r>
    </w:p>
    <w:p>
      <w:pPr>
        <w:ind w:left="2040"/>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Eric Gatoff</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Akerman LLP</w:t>
      </w:r>
    </w:p>
    <w:p>
      <w:pPr>
        <w:spacing w:after="0" w:line="2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1251 Avenue of the Americas</w:t>
      </w:r>
    </w:p>
    <w:p>
      <w:pPr>
        <w:ind w:left="2040"/>
        <w:spacing w:after="0" w:line="192" w:lineRule="auto"/>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0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7"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Wayne Wald</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 Pandya </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 Macpherson</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wayne.wald@akerman.com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palash.pandya@akerman.com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james.macpherson@akerman.com</w:t>
      </w:r>
    </w:p>
    <w:p>
      <w:pPr>
        <w:spacing w:after="0" w:line="207" w:lineRule="exact"/>
        <w:rPr>
          <w:sz w:val="20"/>
          <w:szCs w:val="20"/>
          <w:color w:val="auto"/>
        </w:rPr>
      </w:pPr>
    </w:p>
    <w:p>
      <w:pPr>
        <w:ind w:left="2040" w:hanging="561"/>
        <w:spacing w:after="0"/>
        <w:tabs>
          <w:tab w:leader="none" w:pos="2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Stockholder:</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on Schedule A hereto, in each case with a copy (which shall not constitute notice) to:</w:t>
      </w:r>
    </w:p>
    <w:p>
      <w:pPr>
        <w:spacing w:after="0" w:line="225"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Akerman LLP</w:t>
      </w:r>
    </w:p>
    <w:p>
      <w:pPr>
        <w:spacing w:after="0" w:line="27"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1251 Avenue of the Americas</w:t>
      </w:r>
    </w:p>
    <w:p>
      <w:pPr>
        <w:ind w:left="2040"/>
        <w:spacing w:after="0" w:line="192" w:lineRule="auto"/>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204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7"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Attention:       </w:t>
      </w:r>
      <w:r>
        <w:rPr>
          <w:sz w:val="20"/>
          <w:szCs w:val="20"/>
          <w:color w:val="auto"/>
        </w:rPr>
        <w:tab/>
      </w:r>
      <w:r>
        <w:rPr>
          <w:rFonts w:ascii="Times New Roman" w:cs="Times New Roman" w:eastAsia="Times New Roman" w:hAnsi="Times New Roman"/>
          <w:sz w:val="18"/>
          <w:szCs w:val="18"/>
          <w:color w:val="auto"/>
        </w:rPr>
        <w:t>Wayne Wald</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 Pandya</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 Macpherson</w:t>
      </w:r>
    </w:p>
    <w:p>
      <w:pPr>
        <w:spacing w:after="0" w:line="9" w:lineRule="exact"/>
        <w:rPr>
          <w:sz w:val="20"/>
          <w:szCs w:val="20"/>
          <w:color w:val="auto"/>
        </w:rPr>
      </w:pPr>
    </w:p>
    <w:p>
      <w:pPr>
        <w:ind w:left="2040"/>
        <w:spacing w:after="0"/>
        <w:tabs>
          <w:tab w:leader="none" w:pos="336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wayne.wald@akerman.com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palash.pandya@akerman.com</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james.macpherson@akerman.com</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  Entire Agreement</w:t>
      </w:r>
      <w:r>
        <w:rPr>
          <w:rFonts w:ascii="Times New Roman" w:cs="Times New Roman" w:eastAsia="Times New Roman" w:hAnsi="Times New Roman"/>
          <w:sz w:val="18"/>
          <w:szCs w:val="18"/>
          <w:color w:val="auto"/>
        </w:rPr>
        <w:t>. This Agreement constitutes the entire agreement, and supersedes all prior agreements, understandings,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both written and oral, among the parties with respect to the subject matter hereof and thereof.</w:t>
      </w:r>
    </w:p>
    <w:p>
      <w:pPr>
        <w:spacing w:after="0" w:line="15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  No Third Party Beneficiaries</w:t>
      </w:r>
      <w:r>
        <w:rPr>
          <w:rFonts w:ascii="Times New Roman" w:cs="Times New Roman" w:eastAsia="Times New Roman" w:hAnsi="Times New Roman"/>
          <w:sz w:val="18"/>
          <w:szCs w:val="18"/>
          <w:color w:val="auto"/>
        </w:rPr>
        <w:t>. Nothing in this Agreement, express or implied, is intended to or shall confer upon any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parties and their respective successors and permitted assigns any legal or equitable right, benefit or remedy of any nature under or by reason of this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  Relationship Among the Parties</w:t>
      </w:r>
      <w:r>
        <w:rPr>
          <w:rFonts w:ascii="Times New Roman" w:cs="Times New Roman" w:eastAsia="Times New Roman" w:hAnsi="Times New Roman"/>
          <w:sz w:val="18"/>
          <w:szCs w:val="18"/>
          <w:color w:val="auto"/>
        </w:rPr>
        <w:t>. This Agreement is intended to create a contractual relationship among Parent, Merger Sub,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Stockholders and is not intended to create, and does not create, any agency, partnership, joint venture or any similar relationship among the parties hereto. Without limiting the generality of the foregoing, none of Parent, Merger Sub, the Company or any Stockholder, by entering into this Agreement, intends to form a “group” for purposes of Rule 13d-5(b)(1) of the Exchange Act or any other similar provision of applicable Law with Parent or Merger Sub or any other stockholder of the Company. Nothing contained in this Agreement shall be deemed to vest in Parent or Merger Sub any direct or indirect ownership or incidence of ownership of or with respect to any Covered Shares. All rights, ownership and economic benefits of and relating to the Covered Shares shall remain vested in and belong to the applicable Stockholder, and, except as expressly provided herein, Parent and Merger Sub shall have no authority to direct any Stockholder in the voting or disposition of any of the Covered Shares. Parent and Merger Sub shall not be deemed to be the beneficial owner of any Covered Shares by virtue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  Governing Law and Venue; Waiver of Jury Trial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(a)                  This Agreement, and all claims or causes of action (whether in contract or tort) that may be based upon, arise out of or relate to this Agreement or the Merger, shall be governed by and construed in accordance with the laws of the State of Delaware, without regard to the conflicts of law rules of such State.</w:t>
      </w:r>
    </w:p>
    <w:p>
      <w:pPr>
        <w:spacing w:after="0" w:line="176"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The parties hereto agree that any Proceeding seeking to enforce any provision of, or based on any matter arising out of or in connection with, this Agreement or the transactions contemplated by this Agreement shall be brought in the Court of Chancery of the State of Delaware, or if that court does not have jurisdiction, any state or federal court sitting in the State of Delaware. Each party hereto hereby irrevocably submits to the exclusive jurisdiction of each such court in respect of any Proceeding arising out of or relating to this Agreement or the transactions contemplated by this Agreement, or relating to enforcement of any of the terms of this Agreement, and hereby irrevocably waives, and agrees not to assert, as a defense in any such Proceeding, any claim that it is not subject personally to the jurisdiction of such court, that the Proceeding is brought in an inconvenient forum, that the venue of the Proceeding is improper or that this Agreement or the transactions contemplated by this Agreement may not be enforced in or by such courts. Each party hereto agrees that notice or the service of process in any Proceeding arising out of or relating to this Agreement or the transactions contemplated by this Agreement shall be properly served or delivered if delivered in the manner contemplated by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in any other manner permitted by Law.</w:t>
      </w:r>
    </w:p>
    <w:p>
      <w:pPr>
        <w:spacing w:after="0" w:line="194"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(c)                  EACH OF THE PARTIES HERETO HEREBY KNOWINGLY AND IRREVOCABLY WAIVES ANY AND ALL RIGHT TO TRIAL BY JURY IN ANY PROCEEDING ARISING OUT OF OR RELATED TO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w:t>
      </w:r>
    </w:p>
    <w:p>
      <w:pPr>
        <w:spacing w:after="0" w:line="3" w:lineRule="exact"/>
        <w:rPr>
          <w:sz w:val="20"/>
          <w:szCs w:val="20"/>
          <w:color w:val="auto"/>
        </w:rPr>
      </w:pPr>
    </w:p>
    <w:p>
      <w:pPr>
        <w:jc w:val="both"/>
        <w:ind w:left="4" w:right="20" w:hanging="4"/>
        <w:spacing w:after="0" w:line="255" w:lineRule="auto"/>
        <w:tabs>
          <w:tab w:leader="none" w:pos="3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HAS BEEN INDUCED TO ENTER INTO THIS AGREEMENT AND THE TRANSACTIONS CONTEMPLATED BY THIS AGREEMENT, AS APPLICABLE, BY, AMONG OTHER THINGS, THE MUTUAL WAIVERS AND CERTIFICATIONS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96" w:name="page97"/>
    <w:bookmarkEnd w:id="9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  Assignment; Successors</w:t>
      </w:r>
      <w:r>
        <w:rPr>
          <w:rFonts w:ascii="Times New Roman" w:cs="Times New Roman" w:eastAsia="Times New Roman" w:hAnsi="Times New Roman"/>
          <w:sz w:val="18"/>
          <w:szCs w:val="18"/>
          <w:color w:val="auto"/>
        </w:rPr>
        <w:t>. Neither this Agreement nor any of the rights, interests or obligations hereunder shall be assigned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parties, in whole or in part (whether by operation of law or otherwise), without the prior written consent of the other parties, and any attempt to make any such assignment without such consent shall be null and void;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and Merger Sub are expressly permitted to assign their rights under this Agreement to any Affiliate of Parent (including by way of a transfer of shares of capital stock of Merger Sub), and any such Person shall be entitled to assume Parent’s and/or Merger Sub’s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assignment and assumption shall release Parent or Merger Sub from any of its obligations under this Agreement to the extent not performed. This Agreement shall be binding upon, inure to the benefit of and be enforceable by the parties and their respective successors and assigns.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18.            </w:t>
      </w:r>
      <w:r>
        <w:rPr>
          <w:rFonts w:ascii="Times New Roman" w:cs="Times New Roman" w:eastAsia="Times New Roman" w:hAnsi="Times New Roman"/>
          <w:sz w:val="18"/>
          <w:szCs w:val="18"/>
          <w:b w:val="1"/>
          <w:bCs w:val="1"/>
          <w:u w:val="single" w:color="auto"/>
          <w:color w:val="auto"/>
        </w:rPr>
        <w:t>  Enforcement</w:t>
      </w:r>
      <w:r>
        <w:rPr>
          <w:rFonts w:ascii="Times New Roman" w:cs="Times New Roman" w:eastAsia="Times New Roman" w:hAnsi="Times New Roman"/>
          <w:sz w:val="18"/>
          <w:szCs w:val="18"/>
          <w:color w:val="auto"/>
        </w:rPr>
        <w:t>. The parties acknowledge and agree that irreparable harm would occur and that the parties would not have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adequate remedy at law (a) for any actual or threatened breach of the provisions of this Agreement or (b) in the event that any of the provisions of this Agreement are not performed in accordance with their specific terms. It is accordingly agreed that the parties shall be entitled to an injunction or injunctions, specific performance or other equitable relief to prevent breaches or threatened breaches of this Agreement and to specifically enforce the terms and provisions of this Agreement. Each of the parties hereby agrees (i) that such party shall not oppose the granting of such relief by reason of there being an adequate remedy at law, (ii) that such party hereby irrevocably waives any requirement for the security or posting of any bond in connection with such relief and (iii) that such relief may be granted without the requirement that the party seeking such relief offer proof of actual damages. The parties further agree that, by seeking the remedies provided for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 party shall not in any respect waive such party’s right to seek any other form of relief, at law or in equity, that may be available to a party under this Agreement, including monetary damages in the event that this Agreement has been terminated or in the event that the remedies provided for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are not available or otherwise are not granted.</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19.            </w:t>
      </w:r>
      <w:r>
        <w:rPr>
          <w:rFonts w:ascii="Times New Roman" w:cs="Times New Roman" w:eastAsia="Times New Roman" w:hAnsi="Times New Roman"/>
          <w:sz w:val="18"/>
          <w:szCs w:val="18"/>
          <w:b w:val="1"/>
          <w:bCs w:val="1"/>
          <w:u w:val="single" w:color="auto"/>
          <w:color w:val="auto"/>
        </w:rPr>
        <w:t>  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policy, all other terms and provisions of this Agreement shall nevertheless remain in full force and effect. Notwithstanding the foregoing,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Section 20.            </w:t>
      </w:r>
      <w:r>
        <w:rPr>
          <w:rFonts w:ascii="Times New Roman" w:cs="Times New Roman" w:eastAsia="Times New Roman" w:hAnsi="Times New Roman"/>
          <w:sz w:val="18"/>
          <w:szCs w:val="18"/>
          <w:b w:val="1"/>
          <w:bCs w:val="1"/>
          <w:u w:val="single" w:color="auto"/>
          <w:color w:val="auto"/>
        </w:rPr>
        <w:t>  No Presumption Against Drafting Party</w:t>
      </w:r>
      <w:r>
        <w:rPr>
          <w:rFonts w:ascii="Times New Roman" w:cs="Times New Roman" w:eastAsia="Times New Roman" w:hAnsi="Times New Roman"/>
          <w:sz w:val="18"/>
          <w:szCs w:val="18"/>
          <w:color w:val="auto"/>
        </w:rPr>
        <w:t>. Each of the parties hereto acknowledges that it has been represented by counsel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throughout all negotiations that have preceded the execution of this Agreement and that it has executed the same with the advice of said counsel. Each party and its counsel cooperated and participated in the drafting and preparation of this Agreement and the documents referred to herein,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and any controversy over interpretations of this Agreement shall be decided without regards to events of drafting or preparation.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21.            </w:t>
      </w:r>
      <w:r>
        <w:rPr>
          <w:rFonts w:ascii="Times New Roman" w:cs="Times New Roman" w:eastAsia="Times New Roman" w:hAnsi="Times New Roman"/>
          <w:sz w:val="18"/>
          <w:szCs w:val="18"/>
          <w:b w:val="1"/>
          <w:bCs w:val="1"/>
          <w:u w:val="single" w:color="auto"/>
          <w:color w:val="auto"/>
        </w:rPr>
        <w:t>  Stockholder Obligations Several and Not Joint</w:t>
      </w:r>
      <w:r>
        <w:rPr>
          <w:rFonts w:ascii="Times New Roman" w:cs="Times New Roman" w:eastAsia="Times New Roman" w:hAnsi="Times New Roman"/>
          <w:sz w:val="18"/>
          <w:szCs w:val="18"/>
          <w:color w:val="auto"/>
        </w:rPr>
        <w:t>. The obligations of each Stockholder hereunder shall be several and not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several, and no Stockholder shall be liable for any breach of the terms of this Agreement by any other Stockholder.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22.            </w:t>
      </w:r>
      <w:r>
        <w:rPr>
          <w:rFonts w:ascii="Times New Roman" w:cs="Times New Roman" w:eastAsia="Times New Roman" w:hAnsi="Times New Roman"/>
          <w:sz w:val="18"/>
          <w:szCs w:val="18"/>
          <w:b w:val="1"/>
          <w:bCs w:val="1"/>
          <w:u w:val="single" w:color="auto"/>
          <w:color w:val="auto"/>
        </w:rPr>
        <w:t>  Expenses</w:t>
      </w:r>
      <w:r>
        <w:rPr>
          <w:rFonts w:ascii="Times New Roman" w:cs="Times New Roman" w:eastAsia="Times New Roman" w:hAnsi="Times New Roman"/>
          <w:sz w:val="18"/>
          <w:szCs w:val="18"/>
          <w:color w:val="auto"/>
        </w:rPr>
        <w:t>. Except as set forth in the Merger Agreement, all costs and expenses incurred in connection with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paid by the party incurring such cost or expense, whether or not the Merger is consummated.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23.            </w:t>
      </w:r>
      <w:r>
        <w:rPr>
          <w:rFonts w:ascii="Times New Roman" w:cs="Times New Roman" w:eastAsia="Times New Roman" w:hAnsi="Times New Roman"/>
          <w:sz w:val="18"/>
          <w:szCs w:val="18"/>
          <w:b w:val="1"/>
          <w:bCs w:val="1"/>
          <w:u w:val="single" w:color="auto"/>
          <w:color w:val="auto"/>
        </w:rPr>
        <w:t>  Counterparts; Effectiveness</w:t>
      </w:r>
      <w:r>
        <w:rPr>
          <w:rFonts w:ascii="Times New Roman" w:cs="Times New Roman" w:eastAsia="Times New Roman" w:hAnsi="Times New Roman"/>
          <w:sz w:val="18"/>
          <w:szCs w:val="18"/>
          <w:color w:val="auto"/>
        </w:rPr>
        <w:t>. This Agreement may be signed in any number of counterparts, each of which shall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same effect as if the signatures thereto and hereto were upon the same instrument. Signatures to this Agreement transmitted by facsimile transmission, by electronic mail in PDF form, or by any other electronic means will be deemed to have the same effect as physical delivery of the paper document bearing the original signatures.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Parent, Merger Sub, the Company and the Stockholders have caused to be executed or executed this Agreement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SMITHFIELD FOODS,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 Shane Smith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 Shane Smith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Merger Sub:</w:t>
            </w:r>
          </w:p>
        </w:tc>
      </w:tr>
      <w:tr>
        <w:trPr>
          <w:trHeight w:val="20"/>
        </w:trPr>
        <w:tc>
          <w:tcPr>
            <w:tcW w:w="920" w:type="dxa"/>
            <w:vAlign w:val="bottom"/>
            <w:gridSpan w:val="2"/>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53"/>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BOARDWALK MERGER SUB INC.</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 Mark L. Hall </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 Mark L. Hall</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President</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NATHAN’S FAMOUS, INC.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  </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Gatoff</w:t>
            </w:r>
          </w:p>
        </w:tc>
      </w:tr>
      <w:tr>
        <w:trPr>
          <w:trHeight w:val="191"/>
        </w:trPr>
        <w:tc>
          <w:tcPr>
            <w:tcW w:w="56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Eric Gatoff</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100" w:name="page101"/>
    <w:bookmarkEnd w:id="100"/>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Eric Gatoff</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01" w:name="page102"/>
    <w:bookmarkEnd w:id="101"/>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Joanne Podell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Joanne Podell</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2" w:name="page103"/>
    <w:bookmarkEnd w:id="102"/>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LORBER ALPHA II LP, </w:t>
      </w:r>
      <w:r>
        <w:rPr>
          <w:rFonts w:ascii="Times New Roman" w:cs="Times New Roman" w:eastAsia="Times New Roman" w:hAnsi="Times New Roman"/>
          <w:sz w:val="17"/>
          <w:szCs w:val="17"/>
          <w:color w:val="auto"/>
        </w:rPr>
        <w:t>a Nevada limited partnership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Lorber Alpha II,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Howard M. Lorber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3" w:name="page104"/>
    <w:bookmarkEnd w:id="103"/>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24765</wp:posOffset>
            </wp:positionV>
            <wp:extent cx="3566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Howard M. Lorber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4" w:name="page105"/>
    <w:bookmarkEnd w:id="104"/>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 xml:space="preserve">LORBER GAMMA LP, </w:t>
      </w:r>
      <w:r>
        <w:rPr>
          <w:rFonts w:ascii="Times New Roman" w:cs="Times New Roman" w:eastAsia="Times New Roman" w:hAnsi="Times New Roman"/>
          <w:sz w:val="17"/>
          <w:szCs w:val="17"/>
          <w:color w:val="auto"/>
        </w:rPr>
        <w:t>a Nevada limited partnership</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Lorber Gamma, LLC,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Howard M.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Howard M. Lorber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5" w:name="page106"/>
    <w:bookmarkEnd w:id="105"/>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ISAGEN,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Eide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Eide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06" w:name="page107"/>
    <w:bookmarkEnd w:id="106"/>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Robert J. 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Robert J. Eide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7" w:name="page108"/>
    <w:bookmarkEnd w:id="107"/>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A.F.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A.F. Petrocelli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8" w:name="page109"/>
    <w:bookmarkEnd w:id="108"/>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Barry Leistner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Barry Leistner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09" w:name="page110"/>
    <w:bookmarkEnd w:id="109"/>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Brain S. 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Brian S. Genson</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0" w:name="page111"/>
    <w:bookmarkEnd w:id="110"/>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Andrew M.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Andrew M. Levine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43" w:right="1440" w:bottom="1440" w:gutter="0" w:footer="0" w:header="0"/>
        </w:sectPr>
      </w:pPr>
    </w:p>
    <w:bookmarkStart w:id="111" w:name="page112"/>
    <w:bookmarkEnd w:id="111"/>
    <w:p>
      <w:pPr>
        <w:ind w:left="4500"/>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Wayne Norbitz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Wayne Norbitz</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2" w:name="page113"/>
    <w:bookmarkEnd w:id="112"/>
    <w:p>
      <w:pPr>
        <w:ind w:left="450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Charles Raich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3566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Charles Raich</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r>
      <w:tr>
        <w:trPr>
          <w:trHeight w:val="237"/>
        </w:trPr>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169"/>
        </w:trPr>
        <w:tc>
          <w:tcPr>
            <w:tcW w:w="120" w:type="dxa"/>
            <w:vAlign w:val="bottom"/>
            <w:tcBorders>
              <w:left w:val="single" w:sz="8" w:color="auto"/>
            </w:tcBorders>
          </w:tcPr>
          <w:p>
            <w:pPr>
              <w:spacing w:after="0"/>
              <w:rPr>
                <w:sz w:val="14"/>
                <w:szCs w:val="14"/>
                <w:color w:val="auto"/>
              </w:rPr>
            </w:pPr>
          </w:p>
        </w:tc>
        <w:tc>
          <w:tcPr>
            <w:tcW w:w="508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Stockholder Name and Notice Information</w:t>
            </w:r>
          </w:p>
        </w:tc>
        <w:tc>
          <w:tcPr>
            <w:tcW w:w="860" w:type="dxa"/>
            <w:vAlign w:val="bottom"/>
          </w:tcPr>
          <w:p>
            <w:pPr>
              <w:spacing w:after="0"/>
              <w:rPr>
                <w:sz w:val="14"/>
                <w:szCs w:val="14"/>
                <w:color w:val="auto"/>
              </w:rPr>
            </w:pPr>
          </w:p>
        </w:tc>
        <w:tc>
          <w:tcPr>
            <w:tcW w:w="29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gridSpan w:val="3"/>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129"/>
        </w:trPr>
        <w:tc>
          <w:tcPr>
            <w:tcW w:w="120" w:type="dxa"/>
            <w:vAlign w:val="bottom"/>
            <w:tcBorders>
              <w:left w:val="single" w:sz="8" w:color="auto"/>
              <w:bottom w:val="single" w:sz="8" w:color="auto"/>
            </w:tcBorders>
          </w:tcPr>
          <w:p>
            <w:pPr>
              <w:spacing w:after="0"/>
              <w:rPr>
                <w:sz w:val="11"/>
                <w:szCs w:val="11"/>
                <w:color w:val="auto"/>
              </w:rPr>
            </w:pPr>
          </w:p>
        </w:tc>
        <w:tc>
          <w:tcPr>
            <w:tcW w:w="3280" w:type="dxa"/>
            <w:vAlign w:val="bottom"/>
            <w:tcBorders>
              <w:top w:val="single" w:sz="8" w:color="auto"/>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94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Howard M. Lorber</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719,521</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Lorber Alpha II LP</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250,000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Lorber Gamma LP</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20,320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Eide</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15,987.1473</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Isagen, LLC</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138</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M. Levine</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 Petrocelli</w:t>
            </w:r>
          </w:p>
        </w:tc>
        <w:tc>
          <w:tcPr>
            <w:tcW w:w="86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50,000</w:t>
            </w:r>
          </w:p>
        </w:tc>
        <w:tc>
          <w:tcPr>
            <w:tcW w:w="740" w:type="dxa"/>
            <w:vAlign w:val="bottom"/>
            <w:tcBorders>
              <w:right w:val="single" w:sz="8" w:color="auto"/>
            </w:tcBorders>
          </w:tcPr>
          <w:p>
            <w:pPr>
              <w:spacing w:after="0"/>
              <w:rPr>
                <w:sz w:val="19"/>
                <w:szCs w:val="19"/>
                <w:color w:val="auto"/>
              </w:rPr>
            </w:pPr>
          </w:p>
        </w:tc>
      </w:tr>
      <w:tr>
        <w:trPr>
          <w:trHeight w:val="395"/>
        </w:trPr>
        <w:tc>
          <w:tcPr>
            <w:tcW w:w="120" w:type="dxa"/>
            <w:vAlign w:val="bottom"/>
            <w:tcBorders>
              <w:left w:val="single" w:sz="8" w:color="auto"/>
            </w:tcBorders>
          </w:tcPr>
          <w:p>
            <w:pPr>
              <w:spacing w:after="0"/>
              <w:rPr>
                <w:sz w:val="24"/>
                <w:szCs w:val="24"/>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 Nathan's Famous, Inc.</w:t>
            </w:r>
          </w:p>
        </w:tc>
        <w:tc>
          <w:tcPr>
            <w:tcW w:w="860" w:type="dxa"/>
            <w:vAlign w:val="bottom"/>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Jericho Plaza</w:t>
            </w:r>
          </w:p>
        </w:tc>
        <w:tc>
          <w:tcPr>
            <w:tcW w:w="86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r>
      <w:tr>
        <w:trPr>
          <w:trHeight w:val="234"/>
        </w:trPr>
        <w:tc>
          <w:tcPr>
            <w:tcW w:w="120" w:type="dxa"/>
            <w:vAlign w:val="bottom"/>
            <w:tcBorders>
              <w:left w:val="single" w:sz="8" w:color="auto"/>
            </w:tcBorders>
          </w:tcPr>
          <w:p>
            <w:pPr>
              <w:spacing w:after="0"/>
              <w:rPr>
                <w:sz w:val="20"/>
                <w:szCs w:val="20"/>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Jericho, New York 11752</w:t>
            </w:r>
          </w:p>
        </w:tc>
        <w:tc>
          <w:tcPr>
            <w:tcW w:w="860" w:type="dxa"/>
            <w:vAlign w:val="bottom"/>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r>
      <w:tr>
        <w:trPr>
          <w:trHeight w:val="216"/>
        </w:trPr>
        <w:tc>
          <w:tcPr>
            <w:tcW w:w="120" w:type="dxa"/>
            <w:vAlign w:val="bottom"/>
            <w:tcBorders>
              <w:left w:val="single" w:sz="8" w:color="auto"/>
              <w:bottom w:val="single" w:sz="8" w:color="auto"/>
            </w:tcBorders>
          </w:tcPr>
          <w:p>
            <w:pPr>
              <w:spacing w:after="0"/>
              <w:rPr>
                <w:sz w:val="18"/>
                <w:szCs w:val="18"/>
                <w:color w:val="auto"/>
              </w:rPr>
            </w:pPr>
          </w:p>
        </w:tc>
        <w:tc>
          <w:tcPr>
            <w:tcW w:w="3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940" w:type="dxa"/>
            <w:vAlign w:val="bottom"/>
            <w:tcBorders>
              <w:bottom w:val="single" w:sz="8" w:color="auto"/>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r>
      <w:tr>
        <w:trPr>
          <w:trHeight w:val="695"/>
        </w:trPr>
        <w:tc>
          <w:tcPr>
            <w:tcW w:w="1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14" w:name="page115"/>
    <w:bookmarkEnd w:id="1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90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Eric Gatoff</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78,752</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Charles Raich</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45,920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Barry Leistner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36,409</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S. Genson</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7,042</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Wayne Norbitz</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28"/>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Joanne Podell</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r>
      <w:tr>
        <w:trPr>
          <w:trHeight w:val="395"/>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 Nathan's Famous, Inc.</w:t>
            </w:r>
          </w:p>
        </w:tc>
        <w:tc>
          <w:tcPr>
            <w:tcW w:w="2240" w:type="dxa"/>
            <w:vAlign w:val="bottom"/>
            <w:tcBorders>
              <w:right w:val="single" w:sz="8" w:color="auto"/>
            </w:tcBorders>
          </w:tcPr>
          <w:p>
            <w:pPr>
              <w:spacing w:after="0"/>
              <w:rPr>
                <w:sz w:val="24"/>
                <w:szCs w:val="24"/>
                <w:color w:val="auto"/>
              </w:rPr>
            </w:pPr>
          </w:p>
        </w:tc>
      </w:tr>
      <w:tr>
        <w:trPr>
          <w:trHeight w:val="216"/>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Jericho Plaza</w:t>
            </w:r>
          </w:p>
        </w:tc>
        <w:tc>
          <w:tcPr>
            <w:tcW w:w="2240" w:type="dxa"/>
            <w:vAlign w:val="bottom"/>
            <w:tcBorders>
              <w:right w:val="single" w:sz="8" w:color="auto"/>
            </w:tcBorders>
          </w:tcPr>
          <w:p>
            <w:pPr>
              <w:spacing w:after="0"/>
              <w:rPr>
                <w:sz w:val="18"/>
                <w:szCs w:val="18"/>
                <w:color w:val="auto"/>
              </w:rPr>
            </w:pPr>
          </w:p>
        </w:tc>
      </w:tr>
      <w:tr>
        <w:trPr>
          <w:trHeight w:val="234"/>
        </w:trPr>
        <w:tc>
          <w:tcPr>
            <w:tcW w:w="90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Jericho, New York 11752</w:t>
            </w:r>
          </w:p>
        </w:tc>
        <w:tc>
          <w:tcPr>
            <w:tcW w:w="2240" w:type="dxa"/>
            <w:vAlign w:val="bottom"/>
            <w:tcBorders>
              <w:right w:val="single" w:sz="8" w:color="auto"/>
            </w:tcBorders>
          </w:tcPr>
          <w:p>
            <w:pPr>
              <w:spacing w:after="0"/>
              <w:rPr>
                <w:sz w:val="20"/>
                <w:szCs w:val="20"/>
                <w:color w:val="auto"/>
              </w:rPr>
            </w:pPr>
          </w:p>
        </w:tc>
      </w:tr>
      <w:tr>
        <w:trPr>
          <w:trHeight w:val="216"/>
        </w:trPr>
        <w:tc>
          <w:tcPr>
            <w:tcW w:w="9000" w:type="dxa"/>
            <w:vAlign w:val="bottom"/>
            <w:tcBorders>
              <w:left w:val="single" w:sz="8" w:color="auto"/>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668"/>
        </w:trPr>
        <w:tc>
          <w:tcPr>
            <w:tcW w:w="90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9"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Gatoff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Nathan's Famous,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Jericho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RETENTION BONUS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Gatoff:</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you know, Nathan's Famous,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entering into a Merger Agreement on or around the date hereof with Smithfield Foods, Inc. and Boardwalk Merger Sub Inc.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the Company will become a wholly-owned subsidiary of Smithfield Foods, Inc. (the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We consider your continued service and dedication to the Company to be essential to the Company’s ongoing success and to the consummation of the Merger Transaction in accordance with the terms of the Merger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incentivize you to remain employed with the Company though and until the consummation of the Merger Transaction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we are offering you a retention bonus in the amount of $3,250,000.00, less all applicable withholdings and deductions required by law (the “</w:t>
      </w: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 xml:space="preserve">”). You will receive the Retention Bonus if (1) you are actively employed by the Company or a subsidiary at Closing and you have not given notice of your intent to resign from employment on or before Closing or (2) your employment is terminated by the Company for any reason and Closing later occurs. If you are eligible to receive the Retention Bonus, it will be paid to you in one lump sum cash payment on the first scheduled payroll date on or after Closing. If the Merger Agreement is terminated and Closing does not occur, this letter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you shall receive no Retention Bonus.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letter agreement, in the event that any payment or benefit received or to be received by you (whether pursuant to the terms of this letter agreement or any other plan, arrangement or agreement) (collectively, the “</w:t>
      </w:r>
      <w:r>
        <w:rPr>
          <w:rFonts w:ascii="Times New Roman" w:cs="Times New Roman" w:eastAsia="Times New Roman" w:hAnsi="Times New Roman"/>
          <w:sz w:val="18"/>
          <w:szCs w:val="18"/>
          <w:b w:val="1"/>
          <w:bCs w:val="1"/>
          <w:color w:val="auto"/>
        </w:rPr>
        <w:t>Total Benefits</w:t>
      </w:r>
      <w:r>
        <w:rPr>
          <w:rFonts w:ascii="Times New Roman" w:cs="Times New Roman" w:eastAsia="Times New Roman" w:hAnsi="Times New Roman"/>
          <w:sz w:val="18"/>
          <w:szCs w:val="18"/>
          <w:color w:val="auto"/>
        </w:rPr>
        <w:t>”) constitute “parachute payments” within the meaning of Section 280G of the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would, but for this paragraph, be subject to the excise tax imposed under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Total Benefits shall be reduced in a manner determined by the Company (by the minimum possible amounts) that is consistent with the requirements of Section 409A until no amount payable to the Executive will be subject to the Excise Tax. If two economically equivalent amounts are subject to reduction but are payable at different times, the amounts shall be reduced (but not below zero) on a pro rata basis.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consideration for the payment of the Retention Bonus, for one (1) year following the termination of your employment by the Company or you for any reason, you agree that you will not, directly or indirectly, under any circumstance other than at the direction and for the benefit of the Company, engage in or participate in any business activity, including, but not limited to, acting as a director, officer, executive, agent, independent contractor, partner, consultant, licensor or licensee, franchisor or franchisee, proprietor, syndicate member, shareholder or creditor or with a person having any other relationship with any other business, company, firm occupation or business activity, in any geographic area within the United States that is engaged in the food service industry or quick-service restaurant industry. Should you own 5% or less of the issued and outstanding shares of a class of securities of a corporation the securities of which are traded on a national securities exchange or in the over-the-counter market, such ownership shall not cause you to be deemed a shareholder for the purposes of this paragraph. You expressly agree that the nature and scope of each of the provisions set forth above in this paragraph are reasonable and necessary. If, for any reason, any aspect of the above provisions is determined by a court of competent jurisdiction to be unreasonable or unenforceable, the provisions shall only be modified to the minimum extent required to make the provisions reasonable and/or enforceable, as the case may be. You acknowledge and agree that your services are of a unique character and expressly grant to the Company or any subsidiary, successor or assignee the right to enforce the provisions of this paragraph through the use of all remedies available at law or in equity, including, but not limited to,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6" w:name="page117"/>
    <w:bookmarkEnd w:id="116"/>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letter agreement is intended to comply with, or be exempt from, Section 409A of the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shall be construed and administered in accordance with Section 409A.</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letter agreement contains all of the understandings and representations between the Company and you relating to the Retention Bonus and supersedes all prior and contemporaneous understandings, discussions, agreements, representations, and warranties, both written and oral, with respect to any retention bonus;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letter agreement shall not supersede any other agreements between the Company and you, and specifically, your Employment Agreement, dated December 15, 2006, as amended by the Amendment to Employment Agreement dated as of August 3, 2010, shall remain in full force and effect.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not be amended or modified unless in writing signed by both the Company and you. For the avoidance of doubt, references to the “Company” in this letter agreement shall include the surviving corporation following the Merger Transaction.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acknowledge that during the negotiation of this letter agreement, you have retained or have been advised to retain counsel of your choosing who has provided or will provide advice to you in connection with your decision to enter into this letter agreement. You acknowledge that the Company’s outside legal counsel have represented only the Company in connection with the negotiation, drafting, and entering into of this letter agreement and that you have not been provided nor have you relied upon any legal advice from the Company’s outside legal counsel.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and interpreted in accordance with the laws of the State of New York, without reference to principles of conflict of laws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Steinberg</w:t>
      </w:r>
    </w:p>
    <w:p>
      <w:pPr>
        <w:spacing w:after="0" w:line="23" w:lineRule="exact"/>
        <w:rPr>
          <w:sz w:val="20"/>
          <w:szCs w:val="20"/>
          <w:color w:val="auto"/>
        </w:rPr>
      </w:pPr>
    </w:p>
    <w:p>
      <w:pPr>
        <w:jc w:val="right"/>
        <w:ind w:right="219"/>
        <w:spacing w:after="0"/>
        <w:tabs>
          <w:tab w:leader="none" w:pos="3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Steinberg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Nathan's Famous,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Jericho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 11752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RETENTION BONUS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Steinberg:</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As you know, Nathan's Famous,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entering into a Merger Agreement on or around the date hereof with Smithfield Foods, Inc. and Boardwalk Merger Sub Inc.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the Company will become a wholly-owned subsidiary of Smithfield Foods, Inc. (the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We consider your continued service and dedication to the Company to be essential to the Company’s ongoing success and to the consummation of the Merger Transaction in accordance with the terms of the Merger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incentivize you to remain employed with the Company though and until the consummation of the Merger Transaction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we are offering you a retention bonus in the amount of $1,050,000.00, less all applicable withholdings and deductions required by law (the “</w:t>
      </w:r>
      <w:r>
        <w:rPr>
          <w:rFonts w:ascii="Times New Roman" w:cs="Times New Roman" w:eastAsia="Times New Roman" w:hAnsi="Times New Roman"/>
          <w:sz w:val="18"/>
          <w:szCs w:val="18"/>
          <w:b w:val="1"/>
          <w:bCs w:val="1"/>
          <w:color w:val="auto"/>
        </w:rPr>
        <w:t>Retention Bonus</w:t>
      </w:r>
      <w:r>
        <w:rPr>
          <w:rFonts w:ascii="Times New Roman" w:cs="Times New Roman" w:eastAsia="Times New Roman" w:hAnsi="Times New Roman"/>
          <w:sz w:val="18"/>
          <w:szCs w:val="18"/>
          <w:color w:val="auto"/>
        </w:rPr>
        <w:t xml:space="preserve">”). You will receive the Retention Bonus if (1) you are actively employed by the Company or a subsidiary at Closing and you have not given notice of your intent to resign from employment on or before Closing or (2) your employment is terminated by the Company for any reason and Closing later occurs. If you are eligible to receive the Retention Bonus, it will be paid to you in one lump sum cash payment on the first scheduled payroll date on or after Closing. If the Merger Agreement is terminated and Closing does not occur, this letter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you shall receive no Retention Bonus.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Your employment remains at-will, meaning that you and the Company may terminate the employment relationship at any time, with or without cause, and with or without notice.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 other provision of this letter agreement, in the event that any payment or benefit received or to be received by you (whether pursuant to the terms of this letter agreement or any other plan, arrangement or agreement) (collectively, the “</w:t>
      </w:r>
      <w:r>
        <w:rPr>
          <w:rFonts w:ascii="Times New Roman" w:cs="Times New Roman" w:eastAsia="Times New Roman" w:hAnsi="Times New Roman"/>
          <w:sz w:val="18"/>
          <w:szCs w:val="18"/>
          <w:b w:val="1"/>
          <w:bCs w:val="1"/>
          <w:color w:val="auto"/>
        </w:rPr>
        <w:t>Total Benefits</w:t>
      </w:r>
      <w:r>
        <w:rPr>
          <w:rFonts w:ascii="Times New Roman" w:cs="Times New Roman" w:eastAsia="Times New Roman" w:hAnsi="Times New Roman"/>
          <w:sz w:val="18"/>
          <w:szCs w:val="18"/>
          <w:color w:val="auto"/>
        </w:rPr>
        <w:t>”) constitute “parachute payments” within the meaning of Section 280G of the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would, but for this paragraph, be subject to the excise tax imposed under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Total Benefits shall be reduced in a manner determined by the Company (by the minimum possible amounts) that is consistent with the requirements of Section 409A until no amount payable to the Executive will be subject to the Excise Tax. If two economically equivalent amounts are subject to reduction but are payable at different times, the amounts shall be reduced (but not below zero) on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9" w:name="page120"/>
    <w:bookmarkEnd w:id="11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letter agreement is intended to comply with, or be exempt from, Section 409A of the Code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and shall be construed and administered in accordance with Section 409A.</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contains all of the understandings and representations between the Company and you relating to the Retention Bonus and supersedes all prior and contemporaneous understandings, discussions, agreements, representations, and warranties, both written and oral, with respect to any retention bonus. This letter agreement may not be amended or modified unless in writing signed by both the Company and you.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acknowledge that during the negotiation of this letter agreement, you have retained or have been advised to retain counsel of your choosing who has provided or will provide advice to you in connection with your decision to enter into this letter agreement. You acknowledge that the Company’s outside legal counsel have represented only the Company in connection with the negotiation, drafting, and entering into of this letter agreement and that you have not been provided nor have you relied upon any legal advice from the Company’s outside legal counsel.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shall be governed by and construed and interpreted in accordance with the laws of the State of New York, without reference to principles of conflict of laws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letter agreement may be executed in any number of counterparts, each of which shall be deemed an original, but all of which together shall constitute one and the same instrument.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Gatoff</w:t>
      </w:r>
    </w:p>
    <w:p>
      <w:pPr>
        <w:spacing w:after="0" w:line="23" w:lineRule="exact"/>
        <w:rPr>
          <w:sz w:val="20"/>
          <w:szCs w:val="20"/>
          <w:color w:val="auto"/>
        </w:rPr>
      </w:pPr>
    </w:p>
    <w:p>
      <w:pPr>
        <w:jc w:val="right"/>
        <w:ind w:right="2219"/>
        <w:spacing w:after="0"/>
        <w:tabs>
          <w:tab w:leader="none" w:pos="1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02965" cy="3860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029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0 0 C O M M E R C E S 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 I T H F I E L D, V I R G I N I A 2 3 4 3 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22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Smithfield Foods to Acquire Iconic</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Hot Dog Brand Nathan’s Famous</w:t>
      </w:r>
    </w:p>
    <w:p>
      <w:pPr>
        <w:spacing w:after="0" w:line="2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Secures Rights to Sell and Market Iconic All-Beef Hot Dog Brand into Perpetuity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Strengthens Ability to Grow Nathan’s Famous Brand Across Retail and Foodservice Channels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 Immediately Accretive</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SMITHFIELD, Va., January 21, 2026 / </w:t>
      </w:r>
      <w:r>
        <w:rPr>
          <w:rFonts w:ascii="Times New Roman" w:cs="Times New Roman" w:eastAsia="Times New Roman" w:hAnsi="Times New Roman"/>
          <w:sz w:val="18"/>
          <w:szCs w:val="18"/>
          <w:color w:val="auto"/>
        </w:rPr>
        <w:t>-- Smithfield Foods, Inc. (Nasdaq: SFD) (“Smithfield Foods” or “Smithfield”), an American food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industry leader in value-added packaged meats and fresh pork, and Nathan’s Famous, Inc. (Nasdaq: NATH) (“Nathan’s Famous”), today announced that they have entered into a definitive merger agreement for Smithfield Foods to acquire all of Nathan’s Famous’ issued and outstanding shares for $102.00 per share in cash, which represents an enterprise value of approximately $450 million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March 2014, Smithfield Foods has held an exclusive license from Nathan’s Famous within the United States, Canada and Sam’s Clubs in Mexico for Smithfield to manufacture, distribute, market and sell “Nathan’s Famous” branded hot dogs, sausages, corned beef and certain other ancillary products through the retail channel, and to manufacture and distribute “Nathan’s Famous” branded hot dog and sausage products for the foodservice channel. The license is scheduled to expire in March 2032.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Successfully closing the acquisition will secure Smithfield’s rights to this iconic brand into perpetuity and enable it to maximize the Nathan’s Famous brand growth across the retail and foodservice channels.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Nathan’s Famous acquisition is a meaningful step in the progression of Smithfield Foods allowing us to own all of the top brands in our Packaged Meats portfolio and unlock new growth opportunities for our largest segment,” said Smithfield President and CEO Shane Smith. “Since entering into our licensing agreement in 2014, we have made significant investments to build and grow the Nathan’s Famous brand. With our manufacturing scale, marketing strength, product innovation capabilities, and retail and foodservice channel expertise, acquiring Nathan’s Famous will allow us to take the brand to new heights.”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Based on Nathan’s Famous unaudited balance sheet as of last reported fiscal quarter ended September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both"/>
        <w:spacing w:after="0" w:line="216" w:lineRule="auto"/>
        <w:rPr>
          <w:sz w:val="20"/>
          <w:szCs w:val="20"/>
          <w:color w:val="auto"/>
        </w:rPr>
      </w:pPr>
      <w:r>
        <w:rPr>
          <w:rFonts w:ascii="Times New Roman" w:cs="Times New Roman" w:eastAsia="Times New Roman" w:hAnsi="Times New Roman"/>
          <w:sz w:val="18"/>
          <w:szCs w:val="18"/>
          <w:color w:val="auto"/>
        </w:rPr>
        <w:t>The transaction represents a valuation of approximately 12.4x Nathan’s Famous’s LTM 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a multiple of approximately 10.0x post-synergies. Smithfield Foods expects to achieve annual cost synergies of approximately $9 million by the second anniversary of the deal closing.</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Eric Gatoff, CEO of Nathan’s Famous said, “This combination is a natural fit and provides a compelling valuation for Nathan’s Famous stockholders. As a long-time partner, Smithfield has demonstrated an outstanding commitment to investing in and growing our brand while maintaining the utmost quality and customer service standards.”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acquisition of Nathan’s Famous will be immediately accretive to Smithfield’s adjusted diluted earnings per share from continuing operations attributable to Smithfield and is expected to bolster its growth strategy by:</w:t>
      </w:r>
    </w:p>
    <w:p>
      <w:pPr>
        <w:spacing w:after="0" w:line="15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securing long-term sales and cash flows from the iconic Nathan’s Famous brand into perpetuity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growth of the high margin Packaged Meats segment </w:t>
      </w:r>
      <w:r>
        <w:rPr>
          <w:rFonts w:ascii="Times New Roman" w:cs="Times New Roman" w:eastAsia="Times New Roman" w:hAnsi="Times New Roman"/>
          <w:sz w:val="18"/>
          <w:szCs w:val="18"/>
          <w:color w:val="auto"/>
        </w:rPr>
        <w:t>by harnessing the powerful Nathan’s Famous brand and fueling it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expanded portfolio of innovative products that build customer awareness across Smithfield’s well-established retail and foodservice sales channels;</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increasing foodservice sales volume </w:t>
      </w:r>
      <w:r>
        <w:rPr>
          <w:rFonts w:ascii="Times New Roman" w:cs="Times New Roman" w:eastAsia="Times New Roman" w:hAnsi="Times New Roman"/>
          <w:sz w:val="18"/>
          <w:szCs w:val="18"/>
          <w:color w:val="auto"/>
        </w:rPr>
        <w:t>by placing this channel under the direct management of Smithfield’s expert team and leveraging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Smithfield’s established, scaled infrastructure; and</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improving operating efficiencies </w:t>
      </w:r>
      <w:r>
        <w:rPr>
          <w:rFonts w:ascii="Times New Roman" w:cs="Times New Roman" w:eastAsia="Times New Roman" w:hAnsi="Times New Roman"/>
          <w:sz w:val="18"/>
          <w:szCs w:val="18"/>
          <w:color w:val="auto"/>
        </w:rPr>
        <w:t>by generating anticipated annual run-rate cost synergies of approximately $9 million by the second anniversary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transaction closing.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Timing and Details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the terms of the definitive merger agreement, Smithfield Foods will acquire all of Nathan’s Famous’ issued and outstanding shares of its common stock for $102.00 per share in an all cash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8"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A non-GAAP measure. Please refer to the table in the non-GAAP financial measures section for a reconciliation of net income to EBITDA and adjusted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The Board of Directors of Nathan’s Famous approved the merger agreement with Smithfield Foods and agreed to recommend that the Nathan’s Famous stockholders vote to adopt the merger agreement.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transaction is not subject to a financing contingency and will be funded by cash on hand. The closing of the transaction is expected to occur in the first half of 2026, subject to satisfaction of certain conditions set forth in the merger agreement, including obtaining approval by the holders of a majority of the outstanding Nathan’s Famous common stock, expiration or termination of the applicable waiting period under the Hart-Scott Rodino Antitrust Improvements Act of 1976, as amended, approval from the Committee on Foreign Investment in the United States (CFIUS), and other customary closing conditions. The definitive merger agreement permits the Nathan’s Famous’ Board of Directors to declare and pay two regular quarterly cash dividends during the period pending closing.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the Nathan’s Famous Board of Directors who in the aggregate own or control approximately 29.9% of the outstanding shares of Nathan’s Famous common stock have entered into a voting agreement pursuant to which they have agreed, among other things, to vote their shares of common stock of Nathan’s Famous in favor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Goldman Sachs acted as financial advisor to Smithfield Foods and Hunton Andrews Kurth LLP acted as legal counsel. Jefferies acted as financial advisor and Akerman LLP acted as legal counsel for Nathan’s Famous.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Smithfield Foods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Smithfield Foods, Inc. (Nasdaq: SFD) is an American food company with a leading position in packaged meats and fresh pork products. With a diverse brand portfolio and strong relationships with U.S. farmers and customers, we responsibly meet demand for quality protein around the world. For more information about Smithfield please visit www.smithfieldfoods.com.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Nathan’s Famous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Nathan’s Famous, Inc. (Nasdaq: NATH) is a Russell 2000 company that currently distributes its products in 50 states, the District of Columbia, Puerto Rico, the U.S. Virgin Islands, Guam, and 21 foreign countries through its restaurant system, foodservice sales programs and product licensing activities. For additional information about Nathan’s Famous please visit its website at www.nathansfamous.com.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other than statements of historical facts contained in this press release, including statements regarding Smithfield Foods’ pending acquisition of Nathan’s Famous, the business and operating results of Smithfield Foods and Nathan’s Famous, Smithfield Foods’ and Nathan’s Famous’ strategy, future financial condition, future operations, projected costs, prospects, plans, objectives of management, and expected market growth, are forward-looking statements. In some cases, you can identify forward-looking statements because they contain words such as “will,” “expects,” “expected,” “anticipated,” or “estimates” or other similar terms or expressions that concern Smithfield Foods’ and Nathan’s Famous’ expectations, strategy, plans, or intentions. Such forward-looking statements include those relating to the ability to complete, and the timing of completion of, the transactions contemplated by the merger agreement, including the parties’ ability to satisfy the conditions set forth in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4" w:name="page125"/>
    <w:bookmarkEnd w:id="124"/>
    <w:p>
      <w:pPr>
        <w:jc w:val="both"/>
        <w:spacing w:after="0" w:line="252" w:lineRule="auto"/>
        <w:rPr>
          <w:sz w:val="20"/>
          <w:szCs w:val="20"/>
          <w:color w:val="auto"/>
        </w:rPr>
      </w:pPr>
      <w:r>
        <w:rPr>
          <w:rFonts w:ascii="Times New Roman" w:cs="Times New Roman" w:eastAsia="Times New Roman" w:hAnsi="Times New Roman"/>
          <w:sz w:val="18"/>
          <w:szCs w:val="18"/>
          <w:color w:val="auto"/>
        </w:rPr>
        <w:t>Smithfield Foods and Nathan’s Famous have based the forward-looking statements contained in this press release primarily on Smithfield Foods’ and Nathan’s Famous’ current expectations, estimates, forecasts and projections about future events and trends that Smithfield Foods and Nathan’s Famous believe may affect Smithfield Foods’ and Nathan’s Famous’ business, results of operations, financial condition and prospects. Although Smithfield Foods and Nathan’s Famous believe that they respectively have a reasonable basis for each forward-looking statement contained in this press release, the results, events and circumstances reflected in the forward-looking statements may not be achieved or occur, and actual results, events or circumstances could differ materially from those described in the forward-looking statements. Among the factors that may cause actual results, events and circumstances to differ from anticipated results, events and circumstances in forward-looking statements are the following: the risk that the acquisition of Nathan’s Famous by Smithfield Foods may not be consummated in a timely manner or at all; the possibility that any or all of the various conditions to the consummation of the merger may not be satisfied or waived, including that a governmental entity (including, without limitation, the Committee on Foreign Investment in the United States (CFIUS)) may prohibit, delay or refuse to grant approval for the consummation of the merger; the risk that such regulatory approvals could only be obtained subject to conditions that are not anticipated; the risk of legal proceedings that may be commenced related to the merger agreement, which may result in significant costs of defense, indemnification and liability; the possibility that competing offers or acquisition proposals for Nathan’s Famous will be made; the occurrence of any event, change or other circumstance that could give rise to the termination of the merger agreement; the risk that Nathan’s Famous will not be integrated successfully into Smithfield Foods following the consummation of the acquisition; and the risk that revenue opportunities, cost savings, synergies and other anticipated benefits from the acquisition may not be fully realized or may take longer to realize than expected. The forward-looking statements speak only as of the date hereof and, other than as required by applicable law, Smithfield Foods and Nathan’s Famous undertake no duty to, and expressly disclaim any intent or obligation to, update or revise any statement made in this press release.</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The foregoing factors should be read in conjunction with the risks that affect the business of Smithfield Foods and Nathan’s Famous and cautionary statements contained in their respective SEC filings, including reports on Form 10-K, Form 10-Q and Form 8-K, particularly under the heading “Risk Factors.” Copies of Smithfield Foods’ filings are available online from the SEC or by contacting Smithfield’s Investor Relations Department at ir@smithfield.com or by clicking on SEC Filings on the Smithfield Investor Relations website at investors.smithfieldfoods.com. Copies of Nathan’s Famous’ filings are available online from the SEC or by visiting Nathan’s Famous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Nathan’s Famous intends to file with the Securities and Exchange Commission (the “SEC”) a preliminary proxy statement and furnish or file other materials with the SEC in connection with the proposed transaction. Once the SEC completes its review of the preliminary proxy statement, a definitive proxy statement will be filed with the SEC and mailed to the stockholders of Nathan’s Famous. This communication is not intended to be, and is not, a substitute for the proxy statement or any other document that Nathan’s Famous may file with the SEC in connection with the proposed transaction.</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BEFORE MAKING ANY VOTING DECISION, NATHAN’S FAMOUS’ STOCKHOLDERS ARE URGED TO READ THE PROXY STATEMENT AND THOSE OTHER MATERIALS CAREFULLY AND IN THEIR ENTIRETY BECAUSE THEY WILL CONTAIN IMPORTANT INFORMATION ABOUT THE PROPOSED TRANSACTION AND THE PARTIES TO THE PROPOSED TRANSACTION.</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proxy statement and other relevant materials (when they become available), and any other documents filed by Nathan’s Famous with the SEC, may be obtained free of charge at the SEC’s website at www.sec.gov. In addition, security holders will be able to obtain free copies of the proxy statement from Nathan’s Famous by visiting its website at www.nathansfamous.com.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communication does not constitute a solicitation of proxy, an offer to purchase or a solicitation of an offer to sell any securities. Nathan’s Famous and its directors and executive officers may be deemed to be participants in the solicitation of proxies from the stockholders of Nathan’s Famous in connection with the proposed transaction. Information regarding the interests of these directors and executive officers in the transaction will be included in the proxy statement described above. Additional information regarding the directors and executive officers of Nathan’s Famous is included in Nathan’s Famous’ proxy statement for its 2025 Annual Meeting, which was filed with the SEC on July 25, 2025, and is supplemented by other public filings made, and to be made, with the SEC by Nathan’s Famous. To the extent the holdings of Nathan’s Famous’ securities by Nathan’s Famous’ directors and executive officers have changed since the amounts set forth in the proxy statement for its 2025 Annual Meeting, such changes have been or will be reflected on Statements of Change in Ownership on Form 4 filed with the SEC. These documents are available free of charge at the SEC’s website at www.sec.gov and on Nathan’s Famous’ website at </w:t>
      </w:r>
      <w:r>
        <w:rPr>
          <w:rFonts w:ascii="Times New Roman" w:cs="Times New Roman" w:eastAsia="Times New Roman" w:hAnsi="Times New Roman"/>
          <w:sz w:val="18"/>
          <w:szCs w:val="18"/>
          <w:u w:val="single" w:color="auto"/>
          <w:color w:val="auto"/>
        </w:rPr>
        <w:t>www.nathansfamous.com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adjusted EBITDA, which is a “non-GAAP” financial measure determined by methods other than in accordance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 (“GAAP”).</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this non-GAAP measure is frequently used by investors and securities analysts in their evaluations of companies in industries similar to Smithfield Foods and Nathan’s Famous, this non-GAAP measure has limitations as an analytical tool, is not a measurement of Smithfield Foods or Nathan’s Famous’ performance under GAAP and should not be considered as an alternative to operating profit, net income or any other performance measures derived in accordance with GAAP and should not be used by investors or other users of Smithfield Foods’ and Nathan’s Famous’ financial statements in isolation for formulating decisions, as such non-GAAP measure excludes a number of important cash and non-cash charges.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should be aware that the presentation of this non-GAAP financial measure in this press release may not be comparable to similarly titled measures used by other companies. A reconciliation of this non-GAAP measure to net income calculated in accordance with GAAP is provided in this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Nathan’s Famous Adjusted EBITDA</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Nathan’s Famous adjusted EBITDA is defined as earnings before interest, taxes, depreciation and amortization further adjusted for (i) the loss on debt extinguishment and (ii) share-based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results for Nathan’s Famous in this press release have been derived from unaudited financial statements prepared by Nathan’s Famous, without adjustment to conform to the accounting principles and methodologies used by Smithfield Foods. The accounting policies and methodologies used by Nathan’s Famous differ in certain respects from those by Smithfield Foods, but Smithfield Foods does not believe these differences are material.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Smithfield Foods and Nathan’s Famous believe that adjusted EBITDA is a useful measure because it excludes the effects of financing and investing activities by eliminating interest and depreciation costs to provide a comparable year-over-year analysis, and further excludes the effects of discontinued operations, non-operating gains and losses and other items that are unusual in nature, and infrequent in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Nathan’s Famous, Inc.</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Twelve</w:t>
            </w: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29,</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r>
      <w:tr>
        <w:trPr>
          <w:trHeight w:val="238"/>
        </w:trPr>
        <w:tc>
          <w:tcPr>
            <w:tcW w:w="2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10"/>
        </w:trPr>
        <w:tc>
          <w:tcPr>
            <w:tcW w:w="2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22,846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5,199</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w:t>
            </w: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30"/>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r>
      <w:tr>
        <w:trPr>
          <w:trHeight w:val="209"/>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2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Smithfield Foods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MacMedan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ir@smithfield.com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 Atkinson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ratkinson@smithfield.com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Cell: 757.576.1383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Nathan’s Famous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ir@nathansfamous.com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3"/>
    </w:lvl>
  </w:abstractNum>
  <w:abstractNum w:abstractNumId="4">
    <w:nsid w:val="41A7C4C9"/>
    <w:multiLevelType w:val="hybridMultilevel"/>
    <w:lvl w:ilvl="0">
      <w:lvlJc w:val="left"/>
      <w:lvlText w:val="(%1)"/>
      <w:numFmt w:val="lowerLetter"/>
      <w:start w:val="13"/>
    </w:lvl>
  </w:abstractNum>
  <w:abstractNum w:abstractNumId="5">
    <w:nsid w:val="6B68079A"/>
    <w:multiLevelType w:val="hybridMultilevel"/>
    <w:lvl w:ilvl="0">
      <w:lvlJc w:val="left"/>
      <w:lvlText w:val="(%1)"/>
      <w:numFmt w:val="lowerRoman"/>
      <w:start w:val="3"/>
    </w:lvl>
  </w:abstractNum>
  <w:abstractNum w:abstractNumId="6">
    <w:nsid w:val="4E6AFB66"/>
    <w:multiLevelType w:val="hybridMultilevel"/>
    <w:lvl w:ilvl="0">
      <w:lvlJc w:val="left"/>
      <w:lvlText w:val="(%1)"/>
      <w:numFmt w:val="lowerRoman"/>
      <w:start w:val="2"/>
    </w:lvl>
  </w:abstractNum>
  <w:abstractNum w:abstractNumId="7">
    <w:nsid w:val="25E45D32"/>
    <w:multiLevelType w:val="hybridMultilevel"/>
    <w:lvl w:ilvl="0">
      <w:lvlJc w:val="left"/>
      <w:lvlText w:val="(%1)"/>
      <w:numFmt w:val="lowerRoman"/>
      <w:start w:val="2"/>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Roman"/>
      <w:start w:val="7"/>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lowerRoman"/>
      <w:start w:val="5"/>
    </w:lvl>
  </w:abstractNum>
  <w:abstractNum w:abstractNumId="12">
    <w:nsid w:val="257130A3"/>
    <w:multiLevelType w:val="hybridMultilevel"/>
    <w:lvl w:ilvl="0">
      <w:lvlJc w:val="left"/>
      <w:lvlText w:val="(%1)"/>
      <w:numFmt w:val="lowerRoman"/>
      <w:start w:val="7"/>
    </w:lvl>
  </w:abstractNum>
  <w:abstractNum w:abstractNumId="13">
    <w:nsid w:val="62BBD95A"/>
    <w:multiLevelType w:val="hybridMultilevel"/>
    <w:lvl w:ilvl="0">
      <w:lvlJc w:val="left"/>
      <w:lvlText w:val="(%1)"/>
      <w:numFmt w:val="lowerRoman"/>
      <w:start w:val="2"/>
    </w:lvl>
  </w:abstractNum>
  <w:abstractNum w:abstractNumId="14">
    <w:nsid w:val="436C6125"/>
    <w:multiLevelType w:val="hybridMultilevel"/>
    <w:lvl w:ilvl="0">
      <w:lvlJc w:val="left"/>
      <w:lvlText w:val="(%1)"/>
      <w:numFmt w:val="lowerLetter"/>
      <w:start w:val="26"/>
    </w:lvl>
  </w:abstractNum>
  <w:abstractNum w:abstractNumId="15">
    <w:nsid w:val="628C895D"/>
    <w:multiLevelType w:val="hybridMultilevel"/>
    <w:lvl w:ilvl="0">
      <w:lvlJc w:val="left"/>
      <w:lvlText w:val="(%1)"/>
      <w:numFmt w:val="upperLetter"/>
      <w:start w:val="2"/>
    </w:lvl>
  </w:abstractNum>
  <w:abstractNum w:abstractNumId="16">
    <w:nsid w:val="333AB105"/>
    <w:multiLevelType w:val="hybridMultilevel"/>
    <w:lvl w:ilvl="0">
      <w:lvlJc w:val="left"/>
      <w:lvlText w:val="(%1)"/>
      <w:numFmt w:val="lowerRoman"/>
      <w:start w:val="1"/>
    </w:lvl>
  </w:abstractNum>
  <w:abstractNum w:abstractNumId="17">
    <w:nsid w:val="721DA317"/>
    <w:multiLevelType w:val="hybridMultilevel"/>
    <w:lvl w:ilvl="0">
      <w:lvlJc w:val="left"/>
      <w:lvlText w:val="(%1)"/>
      <w:numFmt w:val="upperLetter"/>
      <w:start w:val="2"/>
    </w:lvl>
  </w:abstractNum>
  <w:abstractNum w:abstractNumId="18">
    <w:nsid w:val="2443A858"/>
    <w:multiLevelType w:val="hybridMultilevel"/>
    <w:lvl w:ilvl="0">
      <w:lvlJc w:val="left"/>
      <w:lvlText w:val="(%1)"/>
      <w:numFmt w:val="lowerRoman"/>
      <w:start w:val="1"/>
    </w:lvl>
  </w:abstractNum>
  <w:abstractNum w:abstractNumId="19">
    <w:nsid w:val="2D1D5AE9"/>
    <w:multiLevelType w:val="hybridMultilevel"/>
    <w:lvl w:ilvl="0">
      <w:lvlJc w:val="left"/>
      <w:lvlText w:val="(%1)"/>
      <w:numFmt w:val="lowerRoman"/>
      <w:start w:val="2"/>
    </w:lvl>
  </w:abstractNum>
  <w:abstractNum w:abstractNumId="20">
    <w:nsid w:val="6763845E"/>
    <w:multiLevelType w:val="hybridMultilevel"/>
    <w:lvl w:ilvl="0">
      <w:lvlJc w:val="left"/>
      <w:lvlText w:val="(%1)"/>
      <w:numFmt w:val="lowerRoman"/>
      <w:start w:val="3"/>
    </w:lvl>
  </w:abstractNum>
  <w:abstractNum w:abstractNumId="21">
    <w:nsid w:val="75A2A8D4"/>
    <w:multiLevelType w:val="hybridMultilevel"/>
    <w:lvl w:ilvl="0">
      <w:lvlJc w:val="left"/>
      <w:lvlText w:val="(%1)"/>
      <w:numFmt w:val="upperLetter"/>
      <w:start w:val="2"/>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2026-01-21T06:30:43Z</dcterms:created>
  <dcterms:modified xsi:type="dcterms:W3CDTF">2026-01-21T06:30:43Z</dcterms:modified>
</cp:coreProperties>
</file>