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GOLDMAN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191 MASON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GREENWICH, CT, 06830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914-921-5000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187,000.00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187,000.00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285,086.00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285,086.00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285,086.00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Teton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GGCP,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MARIO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NATHANS FAMOUS,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ONE JERICHO PLAZA, ONE JERICHO PLAZA, JERICHO, NEW YORK , 11753.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w:t>
      </w:r>
    </w:p>
    <w:p>
      <w:pPr>
        <w:spacing w:after="0" w:line="1" w:lineRule="exact"/>
        <w:rPr>
          <w:sz w:val="20"/>
          <w:szCs w:val="20"/>
          <w:color w:val="auto"/>
        </w:rPr>
      </w:pPr>
    </w:p>
    <w:p>
      <w:pPr>
        <w:ind w:left="940" w:right="8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15" w:lineRule="exact"/>
        <w:rPr>
          <w:rFonts w:ascii="Times New Roman" w:cs="Times New Roman" w:eastAsia="Times New Roman" w:hAnsi="Times New Roman"/>
          <w:sz w:val="22"/>
          <w:szCs w:val="22"/>
          <w:color w:val="auto"/>
        </w:rPr>
      </w:pPr>
    </w:p>
    <w:p>
      <w:pPr>
        <w:ind w:left="940"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w:t>
      </w:r>
    </w:p>
    <w:p>
      <w:pPr>
        <w:spacing w:after="0" w:line="2" w:lineRule="exact"/>
        <w:rPr>
          <w:rFonts w:ascii="Times New Roman" w:cs="Times New Roman" w:eastAsia="Times New Roman" w:hAnsi="Times New Roman"/>
          <w:sz w:val="22"/>
          <w:szCs w:val="22"/>
          <w:color w:val="auto"/>
        </w:rPr>
      </w:pPr>
    </w:p>
    <w:p>
      <w:pPr>
        <w:ind w:left="940" w:hanging="932"/>
        <w:spacing w:after="0" w:line="207"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business office at One Corporate Center, Rye, New York 10580. Teton Advisors is a Wyoming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0" w:lineRule="exact"/>
        <w:rPr>
          <w:rFonts w:ascii="Times New Roman" w:cs="Times New Roman" w:eastAsia="Times New Roman" w:hAnsi="Times New Roman"/>
          <w:sz w:val="43"/>
          <w:szCs w:val="43"/>
          <w:color w:val="auto"/>
          <w:vertAlign w:val="subscript"/>
        </w:rPr>
      </w:pPr>
    </w:p>
    <w:p>
      <w:pPr>
        <w:ind w:left="940" w:right="160" w:hanging="932"/>
        <w:spacing w:after="0" w:line="251"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w:t>
      </w:r>
    </w:p>
    <w:p>
      <w:pPr>
        <w:sectPr>
          <w:pgSz w:w="11900" w:h="16838" w:orient="portrait"/>
          <w:cols w:equalWidth="0" w:num="1">
            <w:col w:w="11120"/>
          </w:cols>
          <w:pgMar w:left="360" w:top="102" w:right="419" w:bottom="0" w:gutter="0" w:footer="0" w:header="0"/>
        </w:sectPr>
      </w:pPr>
    </w:p>
    <w:bookmarkStart w:id="7" w:name="page8"/>
    <w:bookmarkEnd w:id="7"/>
    <w:p>
      <w:pPr>
        <w:spacing w:after="0" w:line="26"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Keeley Small Cap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Keeley-Teton, an investment adviser registered under the Advisers Act, provides discretionary advisory services to The TETON Convertible Securities Fund and their holding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spacing w:after="0" w:line="200" w:lineRule="exact"/>
        <w:rPr>
          <w:sz w:val="20"/>
          <w:szCs w:val="20"/>
          <w:color w:val="auto"/>
        </w:rPr>
      </w:pPr>
    </w:p>
    <w:p>
      <w:pPr>
        <w:spacing w:after="0" w:line="316"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aggregate number of Securities to which this Schedule 13D relates is 481,086 shares, representing 11.75% of the</w:t>
      </w:r>
    </w:p>
    <w:p>
      <w:pPr>
        <w:spacing w:after="0" w:line="26" w:lineRule="exact"/>
        <w:rPr>
          <w:sz w:val="20"/>
          <w:szCs w:val="20"/>
          <w:color w:val="auto"/>
        </w:rPr>
      </w:pPr>
    </w:p>
    <w:p>
      <w:pPr>
        <w:ind w:left="940" w:right="140" w:hanging="932"/>
        <w:spacing w:after="0" w:line="184"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4,094,405 shares outstanding as reported in the Issuer's most recently filed Form 10-Q for the quarterly period ended December 28, 2025. The Reporting Persons beneficially own those Securities as follows: GAMCO 285,086 shares 6.96%, Gabelli Funds 187,000 shares 4.57% and Teton Advisors 9,000 shares 0.22%.</w:t>
      </w:r>
    </w:p>
    <w:p>
      <w:pPr>
        <w:spacing w:after="0" w:line="18" w:lineRule="exact"/>
        <w:rPr>
          <w:rFonts w:ascii="Times New Roman" w:cs="Times New Roman" w:eastAsia="Times New Roman" w:hAnsi="Times New Roman"/>
          <w:sz w:val="42"/>
          <w:szCs w:val="42"/>
          <w:color w:val="auto"/>
          <w:vertAlign w:val="subscript"/>
        </w:rPr>
      </w:pPr>
    </w:p>
    <w:p>
      <w:pPr>
        <w:jc w:val="both"/>
        <w:ind w:left="940" w:right="300" w:hanging="932"/>
        <w:spacing w:after="0" w:line="282"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w:t>
      </w:r>
    </w:p>
    <w:p>
      <w:pPr>
        <w:sectPr>
          <w:pgSz w:w="11900" w:h="16864" w:orient="portrait"/>
          <w:cols w:equalWidth="0" w:num="1">
            <w:col w:w="11160"/>
          </w:cols>
          <w:pgMar w:left="360" w:top="111" w:right="379" w:bottom="0" w:gutter="0" w:footer="0" w:header="0"/>
        </w:sectPr>
      </w:pPr>
    </w:p>
    <w:bookmarkStart w:id="8" w:name="page9"/>
    <w:bookmarkEnd w:id="8"/>
    <w:p>
      <w:pPr>
        <w:ind w:left="932"/>
        <w:spacing w:after="0" w:line="235" w:lineRule="auto"/>
        <w:rPr>
          <w:sz w:val="20"/>
          <w:szCs w:val="20"/>
          <w:color w:val="auto"/>
        </w:rPr>
      </w:pPr>
      <w:r>
        <w:rPr>
          <w:rFonts w:ascii="Times New Roman" w:cs="Times New Roman" w:eastAsia="Times New Roman" w:hAnsi="Times New Roman"/>
          <w:sz w:val="22"/>
          <w:szCs w:val="22"/>
          <w:color w:val="auto"/>
        </w:rPr>
        <w:t>investment clients or its partners, as the case may be, except that (i)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p>
      <w:pPr>
        <w:spacing w:after="0" w:line="22" w:lineRule="exact"/>
        <w:rPr>
          <w:sz w:val="20"/>
          <w:szCs w:val="20"/>
          <w:color w:val="auto"/>
        </w:rPr>
      </w:pPr>
    </w:p>
    <w:p>
      <w:pPr>
        <w:ind w:left="932" w:right="200"/>
        <w:spacing w:after="0" w:line="246" w:lineRule="auto"/>
        <w:rPr>
          <w:sz w:val="20"/>
          <w:szCs w:val="20"/>
          <w:color w:val="auto"/>
        </w:rPr>
      </w:pPr>
      <w:r>
        <w:rPr>
          <w:rFonts w:ascii="Times New Roman" w:cs="Times New Roman" w:eastAsia="Times New Roman" w:hAnsi="Times New Roman"/>
          <w:sz w:val="21"/>
          <w:szCs w:val="21"/>
          <w:color w:val="auto"/>
        </w:rPr>
        <w:t>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GABELLI FUNDS, LLC GABELLI ABC FUND 3/17/2026 1,000 100.8000 GAMCO ASSET MANAGEMENT INC. 4/6/2026 -5,000 100.7475 4/2/2026 -1,000 100.6317 3/30/2026 -500 100.8219 3/18/2026 1,000 100.5300 3/18/2026 100 100.4000 3/11/2026 2,000 100.6000</w:t>
      </w:r>
    </w:p>
    <w:p>
      <w:pPr>
        <w:spacing w:after="0" w:line="1" w:lineRule="exact"/>
        <w:rPr>
          <w:sz w:val="20"/>
          <w:szCs w:val="20"/>
          <w:color w:val="auto"/>
        </w:rPr>
      </w:pPr>
    </w:p>
    <w:p>
      <w:pPr>
        <w:ind w:left="932" w:right="180" w:hanging="932"/>
        <w:spacing w:after="0" w:line="248" w:lineRule="auto"/>
        <w:tabs>
          <w:tab w:leader="none" w:pos="93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3/5/2026 2,000 100.6575 TETON ADVISORS, INC. TETON WESTWOOD MIGHTY MITES FUND 4/22/2026 -2,000 101.1500 4/17/2026 -1,000 101.5009 4/9/2026 -1,000 101.8389 4/9/2026 -2,000 101.1500 4/8/2026 -2,000 100.8500 4/7/2026 -2,180 100.8100 4/6/2026 -820 100.8100 4/1/2026 -1,425 100.8500 3/31/2026 -1,038 100.8500 3/30/2026 -5,686 100.8419 3/25/2026 -500 100.7285 3/25/2026 -744 100.8800 3/23/2026 -905 100.8805 3/19/2026 -1,391 100.8627 3/17/2026 -2,811 100.8794 3/16/2026 -1,000 100.5306 3/11/2026 -634 100.8200 3/5/2026 -2,000 100.6136 3/5/2026 -366 100.7326 3/3/2026 -900 100.5838 3/2/2026 -1,200 100.5600 2/27/2026 -900 100.7650 The investment advisory clients of, or partnerships managed by, GAMCO, Gabelli Funds, Teton Advisors and MJG Associates have the sole right to receive and, subject to the notice, withdrawal and/or termination provisions of such</w:t>
      </w:r>
    </w:p>
    <w:p>
      <w:pPr>
        <w:spacing w:after="0" w:line="1" w:lineRule="exact"/>
        <w:rPr>
          <w:rFonts w:ascii="Times New Roman" w:cs="Times New Roman" w:eastAsia="Times New Roman" w:hAnsi="Times New Roman"/>
          <w:sz w:val="21"/>
          <w:szCs w:val="21"/>
          <w:color w:val="auto"/>
        </w:rPr>
      </w:pPr>
    </w:p>
    <w:p>
      <w:pPr>
        <w:ind w:left="932" w:right="20" w:hanging="932"/>
        <w:spacing w:after="0" w:line="189" w:lineRule="auto"/>
        <w:tabs>
          <w:tab w:leader="none" w:pos="93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p>
      <w:pPr>
        <w:spacing w:after="0" w:line="14" w:lineRule="exact"/>
        <w:rPr>
          <w:rFonts w:ascii="Times New Roman" w:cs="Times New Roman" w:eastAsia="Times New Roman" w:hAnsi="Times New Roman"/>
          <w:sz w:val="43"/>
          <w:szCs w:val="43"/>
          <w:color w:val="auto"/>
          <w:vertAlign w:val="subscript"/>
        </w:rPr>
      </w:pPr>
    </w:p>
    <w:p>
      <w:pPr>
        <w:ind w:left="932" w:hanging="932"/>
        <w:spacing w:after="0"/>
        <w:tabs>
          <w:tab w:leader="none" w:pos="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152"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612"/>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Teton Advisors, LLC</w:t>
      </w:r>
    </w:p>
    <w:p>
      <w:pPr>
        <w:spacing w:after="0" w:line="152"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Name/Title: COUNSEL</w:t>
      </w:r>
    </w:p>
    <w:p>
      <w:pPr>
        <w:spacing w:after="0" w:line="44"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2"/>
          <w:szCs w:val="22"/>
          <w:color w:val="auto"/>
        </w:rPr>
        <w:t>GGCP, INC.</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2852"/>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52"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612"/>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2012"/>
        <w:spacing w:after="0"/>
        <w:rPr>
          <w:sz w:val="20"/>
          <w:szCs w:val="20"/>
          <w:color w:val="auto"/>
        </w:rPr>
      </w:pPr>
      <w:r>
        <w:rPr>
          <w:rFonts w:ascii="Times New Roman" w:cs="Times New Roman" w:eastAsia="Times New Roman" w:hAnsi="Times New Roman"/>
          <w:sz w:val="22"/>
          <w:szCs w:val="22"/>
          <w:color w:val="auto"/>
        </w:rPr>
        <w:t>GABELLI MARIO J</w:t>
      </w:r>
    </w:p>
    <w:p>
      <w:pPr>
        <w:sectPr>
          <w:pgSz w:w="11900" w:h="16838" w:orient="portrait"/>
          <w:cols w:equalWidth="0" w:num="1">
            <w:col w:w="11152"/>
          </w:cols>
          <w:pgMar w:left="368" w:top="111" w:right="379" w:bottom="0" w:gutter="0" w:footer="0" w:header="0"/>
        </w:sectPr>
      </w:pPr>
    </w:p>
    <w:bookmarkStart w:id="9" w:name="page10"/>
    <w:bookmarkEnd w:id="9"/>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1"/>
          <w:szCs w:val="21"/>
          <w:color w:val="auto"/>
        </w:rPr>
        <w:t>Name/Title: ATTORNEY-IN-FACT</w:t>
      </w:r>
    </w:p>
    <w:p>
      <w:pPr>
        <w:spacing w:after="0" w:line="56"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2026-04-23T15:51:28Z</dcterms:created>
  <dcterms:modified xsi:type="dcterms:W3CDTF">2026-04-23T15:51:28Z</dcterms:modified>
</cp:coreProperties>
</file>